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4A0" w:firstRow="1" w:lastRow="0" w:firstColumn="1" w:lastColumn="0" w:noHBand="0" w:noVBand="1"/>
      </w:tblPr>
      <w:tblGrid>
        <w:gridCol w:w="10325"/>
      </w:tblGrid>
      <w:tr w:rsidR="00FD06CB" w14:paraId="4FADEA26" w14:textId="77777777" w:rsidTr="00B82B44">
        <w:trPr>
          <w:jc w:val="center"/>
        </w:trPr>
        <w:tc>
          <w:tcPr>
            <w:tcW w:w="10325" w:type="dxa"/>
            <w:tcBorders>
              <w:top w:val="single" w:sz="0" w:space="0" w:color="0E2A47"/>
              <w:left w:val="single" w:sz="0" w:space="0" w:color="0E2A47"/>
              <w:bottom w:val="single" w:sz="0" w:space="0" w:color="0E2A47"/>
              <w:right w:val="single" w:sz="0" w:space="0" w:color="0E2A47"/>
            </w:tcBorders>
            <w:shd w:val="clear" w:color="auto" w:fill="000000" w:themeFill="text1"/>
            <w:vAlign w:val="center"/>
          </w:tcPr>
          <w:p w14:paraId="7A4E1C63" w14:textId="58BCD47D" w:rsidR="00FD06CB" w:rsidRDefault="00B82B44">
            <w:pPr>
              <w:jc w:val="center"/>
            </w:pPr>
            <w:r>
              <w:rPr>
                <w:noProof/>
              </w:rPr>
              <w:drawing>
                <wp:anchor distT="0" distB="0" distL="114300" distR="114300" simplePos="0" relativeHeight="251658240" behindDoc="0" locked="0" layoutInCell="1" allowOverlap="1" wp14:anchorId="2DE68A70" wp14:editId="4567F2EB">
                  <wp:simplePos x="0" y="0"/>
                  <wp:positionH relativeFrom="column">
                    <wp:posOffset>1231900</wp:posOffset>
                  </wp:positionH>
                  <wp:positionV relativeFrom="paragraph">
                    <wp:posOffset>297815</wp:posOffset>
                  </wp:positionV>
                  <wp:extent cx="3962400" cy="1915160"/>
                  <wp:effectExtent l="0" t="0" r="0" b="8890"/>
                  <wp:wrapTight wrapText="bothSides">
                    <wp:wrapPolygon edited="0">
                      <wp:start x="0" y="0"/>
                      <wp:lineTo x="0" y="21485"/>
                      <wp:lineTo x="21496" y="21485"/>
                      <wp:lineTo x="21496" y="0"/>
                      <wp:lineTo x="0" y="0"/>
                    </wp:wrapPolygon>
                  </wp:wrapTight>
                  <wp:docPr id="1471789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89921" name="Picture 1471789921"/>
                          <pic:cNvPicPr/>
                        </pic:nvPicPr>
                        <pic:blipFill>
                          <a:blip r:embed="rId8"/>
                          <a:stretch>
                            <a:fillRect/>
                          </a:stretch>
                        </pic:blipFill>
                        <pic:spPr>
                          <a:xfrm>
                            <a:off x="0" y="0"/>
                            <a:ext cx="3962400" cy="1915160"/>
                          </a:xfrm>
                          <a:prstGeom prst="rect">
                            <a:avLst/>
                          </a:prstGeom>
                        </pic:spPr>
                      </pic:pic>
                    </a:graphicData>
                  </a:graphic>
                  <wp14:sizeRelH relativeFrom="page">
                    <wp14:pctWidth>0</wp14:pctWidth>
                  </wp14:sizeRelH>
                  <wp14:sizeRelV relativeFrom="page">
                    <wp14:pctHeight>0</wp14:pctHeight>
                  </wp14:sizeRelV>
                </wp:anchor>
              </w:drawing>
            </w:r>
          </w:p>
          <w:p w14:paraId="21A3ED3A" w14:textId="20764908" w:rsidR="00FD06CB" w:rsidRDefault="00492363">
            <w:pPr>
              <w:spacing w:before="1100"/>
              <w:jc w:val="center"/>
            </w:pPr>
            <w:r>
              <w:rPr>
                <w:b/>
                <w:color w:val="FFFFFF"/>
                <w:sz w:val="56"/>
              </w:rPr>
              <w:t>BUILDING STRONGER WORKFORCES</w:t>
            </w:r>
          </w:p>
          <w:p w14:paraId="28D0917B" w14:textId="77777777" w:rsidR="00FD06CB" w:rsidRDefault="00492363">
            <w:pPr>
              <w:spacing w:after="360"/>
              <w:jc w:val="center"/>
            </w:pPr>
            <w:r>
              <w:rPr>
                <w:color w:val="E7DED2"/>
                <w:sz w:val="32"/>
              </w:rPr>
              <w:t>Creating measurable Aboriginal employment outcomes</w:t>
            </w:r>
          </w:p>
          <w:p w14:paraId="6469D321" w14:textId="77777777" w:rsidR="00FD06CB" w:rsidRDefault="00492363">
            <w:pPr>
              <w:jc w:val="center"/>
            </w:pPr>
            <w:r>
              <w:rPr>
                <w:b/>
                <w:color w:val="F5F2ED"/>
              </w:rPr>
              <w:t>Recruitment | Labour Hire | Mentoring | Workforce Development | Reporting</w:t>
            </w:r>
          </w:p>
          <w:p w14:paraId="4AD582B6" w14:textId="77777777" w:rsidR="00FD06CB" w:rsidRDefault="00492363">
            <w:pPr>
              <w:spacing w:before="1800"/>
              <w:jc w:val="center"/>
            </w:pPr>
            <w:r>
              <w:rPr>
                <w:b/>
                <w:color w:val="B8892E"/>
                <w:sz w:val="26"/>
              </w:rPr>
              <w:t>Corporate Capability Statement</w:t>
            </w:r>
          </w:p>
          <w:p w14:paraId="7C046544" w14:textId="67B1D904" w:rsidR="00FD06CB" w:rsidRDefault="00492363">
            <w:pPr>
              <w:jc w:val="center"/>
            </w:pPr>
            <w:r>
              <w:rPr>
                <w:color w:val="F5F2ED"/>
                <w:sz w:val="18"/>
              </w:rPr>
              <w:t>Prepared for major projects, Tier 1 contractors and procurement teams</w:t>
            </w:r>
          </w:p>
        </w:tc>
      </w:tr>
    </w:tbl>
    <w:p w14:paraId="5DFC84CD" w14:textId="20D6AA35" w:rsidR="00FD06CB" w:rsidRDefault="00492363">
      <w:r>
        <w:br w:type="page"/>
      </w:r>
    </w:p>
    <w:p w14:paraId="3B7F93E0" w14:textId="77777777" w:rsidR="00FD06CB" w:rsidRDefault="00492363">
      <w:pPr>
        <w:spacing w:after="80"/>
      </w:pPr>
      <w:r>
        <w:rPr>
          <w:b/>
          <w:color w:val="C46A28"/>
          <w:sz w:val="16"/>
        </w:rPr>
        <w:lastRenderedPageBreak/>
        <w:t>ABOUT AIM</w:t>
      </w:r>
    </w:p>
    <w:p w14:paraId="2858C554" w14:textId="77777777" w:rsidR="00FD06CB" w:rsidRPr="00B82B44" w:rsidRDefault="00492363">
      <w:pPr>
        <w:spacing w:after="160"/>
      </w:pPr>
      <w:r w:rsidRPr="00B82B44">
        <w:rPr>
          <w:b/>
          <w:sz w:val="48"/>
        </w:rPr>
        <w:t>Workforce solutions with measurable Aboriginal employment outcomes</w:t>
      </w:r>
    </w:p>
    <w:p w14:paraId="7096EFE5" w14:textId="77777777" w:rsidR="00FD06CB" w:rsidRDefault="00492363">
      <w:pPr>
        <w:spacing w:after="280" w:line="259" w:lineRule="auto"/>
      </w:pPr>
      <w:r>
        <w:rPr>
          <w:color w:val="1F1F1F"/>
          <w:sz w:val="21"/>
        </w:rPr>
        <w:t>Aboriginal Integration Management (AIM) is a 100% Aboriginal-owned workforce solutions provider helping organisations attract, retain and develop skilled employees while creating measurable Aboriginal employment outcomes. AIM combines recruitment, labour hire, mentoring, mobilisation support and reporting to help clients build safer, more stable and more accountable workforces.</w:t>
      </w:r>
    </w:p>
    <w:tbl>
      <w:tblPr>
        <w:tblW w:w="0" w:type="auto"/>
        <w:jc w:val="center"/>
        <w:tblLayout w:type="fixed"/>
        <w:tblLook w:val="04A0" w:firstRow="1" w:lastRow="0" w:firstColumn="1" w:lastColumn="0" w:noHBand="0" w:noVBand="1"/>
      </w:tblPr>
      <w:tblGrid>
        <w:gridCol w:w="5169"/>
        <w:gridCol w:w="5169"/>
      </w:tblGrid>
      <w:tr w:rsidR="00FD06CB" w14:paraId="12A7A5A3" w14:textId="77777777" w:rsidTr="00F0300E">
        <w:trPr>
          <w:trHeight w:val="4006"/>
          <w:jc w:val="center"/>
        </w:trPr>
        <w:tc>
          <w:tcPr>
            <w:tcW w:w="5169" w:type="dxa"/>
            <w:tcBorders>
              <w:top w:val="single" w:sz="0" w:space="0" w:color="F5F2ED"/>
              <w:left w:val="single" w:sz="0" w:space="0" w:color="F5F2ED"/>
              <w:bottom w:val="single" w:sz="0" w:space="0" w:color="F5F2ED"/>
              <w:right w:val="single" w:sz="0" w:space="0" w:color="F5F2ED"/>
            </w:tcBorders>
            <w:shd w:val="clear" w:color="auto" w:fill="F5F2ED"/>
          </w:tcPr>
          <w:p w14:paraId="697E0FDC" w14:textId="77777777" w:rsidR="00FD06CB" w:rsidRPr="00B82B44" w:rsidRDefault="00492363">
            <w:pPr>
              <w:rPr>
                <w:color w:val="A6381A"/>
              </w:rPr>
            </w:pPr>
            <w:r w:rsidRPr="00B82B44">
              <w:rPr>
                <w:b/>
                <w:color w:val="A6381A"/>
                <w:sz w:val="36"/>
              </w:rPr>
              <w:t>What AIM does differently</w:t>
            </w:r>
          </w:p>
          <w:p w14:paraId="24336BE0" w14:textId="77777777" w:rsidR="00FD06CB" w:rsidRDefault="00492363">
            <w:pPr>
              <w:spacing w:after="140"/>
              <w:ind w:left="160"/>
            </w:pPr>
            <w:r>
              <w:rPr>
                <w:b/>
                <w:color w:val="C46A28"/>
                <w:sz w:val="22"/>
              </w:rPr>
              <w:t xml:space="preserve">• </w:t>
            </w:r>
            <w:r>
              <w:rPr>
                <w:color w:val="1F1F1F"/>
                <w:sz w:val="21"/>
              </w:rPr>
              <w:t>Builds workforce capability, not just short-term placements.</w:t>
            </w:r>
          </w:p>
          <w:p w14:paraId="63BE3B00" w14:textId="77777777" w:rsidR="00FD06CB" w:rsidRDefault="00492363">
            <w:pPr>
              <w:spacing w:after="140"/>
              <w:ind w:left="160"/>
            </w:pPr>
            <w:r>
              <w:rPr>
                <w:b/>
                <w:color w:val="C46A28"/>
                <w:sz w:val="22"/>
              </w:rPr>
              <w:t xml:space="preserve">• </w:t>
            </w:r>
            <w:r>
              <w:rPr>
                <w:color w:val="1F1F1F"/>
                <w:sz w:val="21"/>
              </w:rPr>
              <w:t>Supports workers through structured mentoring and practical problem solving.</w:t>
            </w:r>
          </w:p>
          <w:p w14:paraId="13EA6BE9" w14:textId="77777777" w:rsidR="00FD06CB" w:rsidRDefault="00492363">
            <w:pPr>
              <w:spacing w:after="140"/>
              <w:ind w:left="160"/>
            </w:pPr>
            <w:r>
              <w:rPr>
                <w:b/>
                <w:color w:val="C46A28"/>
                <w:sz w:val="22"/>
              </w:rPr>
              <w:t xml:space="preserve">• </w:t>
            </w:r>
            <w:r>
              <w:rPr>
                <w:color w:val="1F1F1F"/>
                <w:sz w:val="21"/>
              </w:rPr>
              <w:t>Gives clients clear reporting for workforce participation, retention, issues and outcomes.</w:t>
            </w:r>
          </w:p>
          <w:p w14:paraId="233A7541" w14:textId="77777777" w:rsidR="00FD06CB" w:rsidRDefault="00492363">
            <w:pPr>
              <w:spacing w:after="140"/>
              <w:ind w:left="160"/>
            </w:pPr>
            <w:r>
              <w:rPr>
                <w:b/>
                <w:color w:val="C46A28"/>
                <w:sz w:val="22"/>
              </w:rPr>
              <w:t xml:space="preserve">• </w:t>
            </w:r>
            <w:r>
              <w:rPr>
                <w:color w:val="1F1F1F"/>
                <w:sz w:val="21"/>
              </w:rPr>
              <w:t>Works with supervisors to identify risks early and keep people engaged, safe and job-ready.</w:t>
            </w:r>
          </w:p>
        </w:tc>
        <w:tc>
          <w:tcPr>
            <w:tcW w:w="5169" w:type="dxa"/>
            <w:tcBorders>
              <w:top w:val="single" w:sz="0" w:space="0" w:color="0E2A47"/>
              <w:left w:val="single" w:sz="0" w:space="0" w:color="0E2A47"/>
              <w:bottom w:val="single" w:sz="0" w:space="0" w:color="0E2A47"/>
              <w:right w:val="single" w:sz="0" w:space="0" w:color="0E2A47"/>
            </w:tcBorders>
            <w:shd w:val="clear" w:color="auto" w:fill="000000" w:themeFill="text1"/>
          </w:tcPr>
          <w:p w14:paraId="14B10D84" w14:textId="77777777" w:rsidR="00FD06CB" w:rsidRDefault="00492363">
            <w:r>
              <w:rPr>
                <w:b/>
                <w:color w:val="B8892E"/>
                <w:sz w:val="24"/>
              </w:rPr>
              <w:t>AT A GLANCE</w:t>
            </w:r>
          </w:p>
          <w:p w14:paraId="67603EB1" w14:textId="77777777" w:rsidR="00FD06CB" w:rsidRDefault="00492363">
            <w:pPr>
              <w:spacing w:after="120"/>
            </w:pPr>
            <w:r>
              <w:rPr>
                <w:b/>
                <w:color w:val="B8892E"/>
              </w:rPr>
              <w:t>✓</w:t>
            </w:r>
            <w:r>
              <w:rPr>
                <w:b/>
                <w:color w:val="B8892E"/>
              </w:rPr>
              <w:t xml:space="preserve"> </w:t>
            </w:r>
            <w:r>
              <w:rPr>
                <w:b/>
                <w:color w:val="FFFFFF"/>
                <w:sz w:val="19"/>
              </w:rPr>
              <w:t>100% Aboriginal-owned</w:t>
            </w:r>
          </w:p>
          <w:p w14:paraId="7251FFEA" w14:textId="77777777" w:rsidR="00FD06CB" w:rsidRDefault="00492363">
            <w:pPr>
              <w:spacing w:after="120"/>
            </w:pPr>
            <w:r>
              <w:rPr>
                <w:b/>
                <w:color w:val="B8892E"/>
              </w:rPr>
              <w:t>✓</w:t>
            </w:r>
            <w:r>
              <w:rPr>
                <w:b/>
                <w:color w:val="B8892E"/>
              </w:rPr>
              <w:t xml:space="preserve"> </w:t>
            </w:r>
            <w:r>
              <w:rPr>
                <w:b/>
                <w:color w:val="FFFFFF"/>
                <w:sz w:val="19"/>
              </w:rPr>
              <w:t>South Australian business</w:t>
            </w:r>
          </w:p>
          <w:p w14:paraId="4ED39843" w14:textId="77777777" w:rsidR="00FD06CB" w:rsidRDefault="00492363">
            <w:pPr>
              <w:spacing w:after="120"/>
            </w:pPr>
            <w:r>
              <w:rPr>
                <w:b/>
                <w:color w:val="B8892E"/>
              </w:rPr>
              <w:t>✓</w:t>
            </w:r>
            <w:r>
              <w:rPr>
                <w:b/>
                <w:color w:val="B8892E"/>
              </w:rPr>
              <w:t xml:space="preserve"> </w:t>
            </w:r>
            <w:r>
              <w:rPr>
                <w:b/>
                <w:color w:val="FFFFFF"/>
                <w:sz w:val="19"/>
              </w:rPr>
              <w:t>Labour hire &amp; recruitment</w:t>
            </w:r>
          </w:p>
          <w:p w14:paraId="26851DAE" w14:textId="77777777" w:rsidR="00FD06CB" w:rsidRDefault="00492363">
            <w:pPr>
              <w:spacing w:after="120"/>
            </w:pPr>
            <w:r>
              <w:rPr>
                <w:b/>
                <w:color w:val="B8892E"/>
              </w:rPr>
              <w:t>✓</w:t>
            </w:r>
            <w:r>
              <w:rPr>
                <w:b/>
                <w:color w:val="B8892E"/>
              </w:rPr>
              <w:t xml:space="preserve"> </w:t>
            </w:r>
            <w:r>
              <w:rPr>
                <w:b/>
                <w:color w:val="FFFFFF"/>
                <w:sz w:val="19"/>
              </w:rPr>
              <w:t>Mentoring &amp; retention</w:t>
            </w:r>
          </w:p>
          <w:p w14:paraId="5BD05FCB" w14:textId="77777777" w:rsidR="00FD06CB" w:rsidRDefault="00492363">
            <w:pPr>
              <w:spacing w:after="120"/>
            </w:pPr>
            <w:r>
              <w:rPr>
                <w:b/>
                <w:color w:val="B8892E"/>
              </w:rPr>
              <w:t>✓</w:t>
            </w:r>
            <w:r>
              <w:rPr>
                <w:b/>
                <w:color w:val="B8892E"/>
              </w:rPr>
              <w:t xml:space="preserve"> </w:t>
            </w:r>
            <w:r>
              <w:rPr>
                <w:b/>
                <w:color w:val="FFFFFF"/>
                <w:sz w:val="19"/>
              </w:rPr>
              <w:t>Compliance &amp; mobilisation</w:t>
            </w:r>
          </w:p>
          <w:p w14:paraId="63F7E8CD" w14:textId="77777777" w:rsidR="00FD06CB" w:rsidRDefault="00492363">
            <w:pPr>
              <w:spacing w:after="120"/>
            </w:pPr>
            <w:r>
              <w:rPr>
                <w:b/>
                <w:color w:val="B8892E"/>
              </w:rPr>
              <w:t>✓</w:t>
            </w:r>
            <w:r>
              <w:rPr>
                <w:b/>
                <w:color w:val="B8892E"/>
              </w:rPr>
              <w:t xml:space="preserve"> </w:t>
            </w:r>
            <w:r>
              <w:rPr>
                <w:b/>
                <w:color w:val="FFFFFF"/>
                <w:sz w:val="19"/>
              </w:rPr>
              <w:t>Workforce reporting</w:t>
            </w:r>
          </w:p>
          <w:p w14:paraId="38AAFC8E" w14:textId="77777777" w:rsidR="00FD06CB" w:rsidRDefault="00492363">
            <w:pPr>
              <w:spacing w:after="120"/>
            </w:pPr>
            <w:r>
              <w:rPr>
                <w:b/>
                <w:color w:val="B8892E"/>
              </w:rPr>
              <w:t>✓</w:t>
            </w:r>
            <w:r>
              <w:rPr>
                <w:b/>
                <w:color w:val="B8892E"/>
              </w:rPr>
              <w:t xml:space="preserve"> </w:t>
            </w:r>
            <w:r>
              <w:rPr>
                <w:b/>
                <w:color w:val="FFFFFF"/>
                <w:sz w:val="19"/>
              </w:rPr>
              <w:t>Indigenous procurement support</w:t>
            </w:r>
          </w:p>
        </w:tc>
      </w:tr>
    </w:tbl>
    <w:p w14:paraId="448A0DB8" w14:textId="77777777" w:rsidR="00FD06CB" w:rsidRDefault="00492363">
      <w:pPr>
        <w:spacing w:before="360"/>
        <w:jc w:val="center"/>
      </w:pPr>
      <w:r>
        <w:rPr>
          <w:b/>
          <w:color w:val="C46A28"/>
          <w:sz w:val="28"/>
        </w:rPr>
        <w:t>AIM helps clients demonstrate genuine social value through employment, not just paperwork.</w:t>
      </w:r>
    </w:p>
    <w:p w14:paraId="7F3D2BD3" w14:textId="77777777" w:rsidR="00FD06CB" w:rsidRDefault="00492363">
      <w:r>
        <w:br w:type="page"/>
      </w:r>
    </w:p>
    <w:p w14:paraId="68C731A4" w14:textId="77777777" w:rsidR="00FD06CB" w:rsidRDefault="00492363">
      <w:pPr>
        <w:spacing w:after="80"/>
      </w:pPr>
      <w:r>
        <w:rPr>
          <w:b/>
          <w:color w:val="C46A28"/>
          <w:sz w:val="16"/>
        </w:rPr>
        <w:lastRenderedPageBreak/>
        <w:t>CORE SERVICES</w:t>
      </w:r>
    </w:p>
    <w:p w14:paraId="3CC84150" w14:textId="77777777" w:rsidR="00FD06CB" w:rsidRPr="00B82B44" w:rsidRDefault="00492363">
      <w:pPr>
        <w:spacing w:after="160"/>
      </w:pPr>
      <w:r w:rsidRPr="00B82B44">
        <w:rPr>
          <w:b/>
          <w:sz w:val="48"/>
        </w:rPr>
        <w:t>What we deliver for clients</w:t>
      </w:r>
    </w:p>
    <w:tbl>
      <w:tblPr>
        <w:tblW w:w="0" w:type="auto"/>
        <w:jc w:val="center"/>
        <w:tblLayout w:type="fixed"/>
        <w:tblLook w:val="04A0" w:firstRow="1" w:lastRow="0" w:firstColumn="1" w:lastColumn="0" w:noHBand="0" w:noVBand="1"/>
      </w:tblPr>
      <w:tblGrid>
        <w:gridCol w:w="5169"/>
        <w:gridCol w:w="5169"/>
      </w:tblGrid>
      <w:tr w:rsidR="00FD06CB" w14:paraId="7286221B" w14:textId="77777777" w:rsidTr="00F0300E">
        <w:trPr>
          <w:trHeight w:val="2357"/>
          <w:jc w:val="center"/>
        </w:trPr>
        <w:tc>
          <w:tcPr>
            <w:tcW w:w="5169" w:type="dxa"/>
            <w:tcBorders>
              <w:top w:val="single" w:sz="6" w:space="0" w:color="D9D2C8"/>
              <w:left w:val="single" w:sz="6" w:space="0" w:color="D9D2C8"/>
              <w:bottom w:val="single" w:sz="6" w:space="0" w:color="D9D2C8"/>
              <w:right w:val="single" w:sz="6" w:space="0" w:color="D9D2C8"/>
            </w:tcBorders>
            <w:shd w:val="clear" w:color="auto" w:fill="F5F2ED"/>
          </w:tcPr>
          <w:p w14:paraId="697E60A5" w14:textId="77777777" w:rsidR="00FD06CB" w:rsidRPr="00B82B44" w:rsidRDefault="00492363">
            <w:pPr>
              <w:rPr>
                <w:color w:val="A6381A"/>
              </w:rPr>
            </w:pPr>
            <w:r w:rsidRPr="00B82B44">
              <w:rPr>
                <w:b/>
                <w:color w:val="A6381A"/>
                <w:sz w:val="30"/>
              </w:rPr>
              <w:t>Workforce Recruitment</w:t>
            </w:r>
          </w:p>
          <w:p w14:paraId="304E77D4" w14:textId="77777777" w:rsidR="00FD06CB" w:rsidRDefault="00492363">
            <w:r>
              <w:rPr>
                <w:color w:val="1F1F1F"/>
              </w:rPr>
              <w:t>Candidate sourcing, screening and job-readiness support.</w:t>
            </w:r>
          </w:p>
          <w:p w14:paraId="4D57CA58" w14:textId="77777777" w:rsidR="00FD06CB" w:rsidRDefault="00492363">
            <w:pPr>
              <w:spacing w:before="80"/>
            </w:pPr>
            <w:r>
              <w:rPr>
                <w:color w:val="6B7280"/>
                <w:sz w:val="17"/>
              </w:rPr>
              <w:t>Client value: less friction, clearer accountability and stronger retention.</w:t>
            </w:r>
          </w:p>
        </w:tc>
        <w:tc>
          <w:tcPr>
            <w:tcW w:w="5169" w:type="dxa"/>
            <w:tcBorders>
              <w:top w:val="single" w:sz="6" w:space="0" w:color="D9D2C8"/>
              <w:left w:val="single" w:sz="6" w:space="0" w:color="D9D2C8"/>
              <w:bottom w:val="single" w:sz="6" w:space="0" w:color="D9D2C8"/>
              <w:right w:val="single" w:sz="6" w:space="0" w:color="D9D2C8"/>
            </w:tcBorders>
            <w:shd w:val="clear" w:color="auto" w:fill="FFFFFF"/>
          </w:tcPr>
          <w:p w14:paraId="3BFA7300" w14:textId="77777777" w:rsidR="00FD06CB" w:rsidRPr="00B82B44" w:rsidRDefault="00492363">
            <w:pPr>
              <w:rPr>
                <w:color w:val="A6381A"/>
              </w:rPr>
            </w:pPr>
            <w:r w:rsidRPr="00B82B44">
              <w:rPr>
                <w:b/>
                <w:color w:val="A6381A"/>
                <w:sz w:val="30"/>
              </w:rPr>
              <w:t>Labour Hire</w:t>
            </w:r>
          </w:p>
          <w:p w14:paraId="121AA975" w14:textId="77777777" w:rsidR="00FD06CB" w:rsidRDefault="00492363">
            <w:r>
              <w:rPr>
                <w:color w:val="1F1F1F"/>
              </w:rPr>
              <w:t>Flexible workforce supply with payroll and employment administration.</w:t>
            </w:r>
          </w:p>
          <w:p w14:paraId="23E3BAE8" w14:textId="77777777" w:rsidR="00FD06CB" w:rsidRDefault="00492363">
            <w:pPr>
              <w:spacing w:before="80"/>
            </w:pPr>
            <w:r>
              <w:rPr>
                <w:color w:val="6B7280"/>
                <w:sz w:val="17"/>
              </w:rPr>
              <w:t>Client value: less friction, clearer accountability and stronger retention.</w:t>
            </w:r>
          </w:p>
        </w:tc>
      </w:tr>
      <w:tr w:rsidR="00FD06CB" w14:paraId="223EA33D" w14:textId="77777777" w:rsidTr="00F0300E">
        <w:trPr>
          <w:trHeight w:val="2374"/>
          <w:jc w:val="center"/>
        </w:trPr>
        <w:tc>
          <w:tcPr>
            <w:tcW w:w="5169" w:type="dxa"/>
            <w:tcBorders>
              <w:top w:val="single" w:sz="6" w:space="0" w:color="D9D2C8"/>
              <w:left w:val="single" w:sz="6" w:space="0" w:color="D9D2C8"/>
              <w:bottom w:val="single" w:sz="6" w:space="0" w:color="D9D2C8"/>
              <w:right w:val="single" w:sz="6" w:space="0" w:color="D9D2C8"/>
            </w:tcBorders>
            <w:shd w:val="clear" w:color="auto" w:fill="F5F2ED"/>
          </w:tcPr>
          <w:p w14:paraId="1ED75F1F" w14:textId="77777777" w:rsidR="00FD06CB" w:rsidRPr="00B82B44" w:rsidRDefault="00492363">
            <w:pPr>
              <w:rPr>
                <w:color w:val="A6381A"/>
              </w:rPr>
            </w:pPr>
            <w:r w:rsidRPr="00B82B44">
              <w:rPr>
                <w:b/>
                <w:color w:val="A6381A"/>
                <w:sz w:val="30"/>
              </w:rPr>
              <w:t>Aboriginal Mentoring</w:t>
            </w:r>
          </w:p>
          <w:p w14:paraId="4768DEBC" w14:textId="77777777" w:rsidR="00FD06CB" w:rsidRDefault="00492363">
            <w:r>
              <w:rPr>
                <w:color w:val="1F1F1F"/>
              </w:rPr>
              <w:t>Ongoing worker engagement, wellbeing support and retention focus.</w:t>
            </w:r>
          </w:p>
          <w:p w14:paraId="1D35AE29" w14:textId="77777777" w:rsidR="00FD06CB" w:rsidRDefault="00492363">
            <w:pPr>
              <w:spacing w:before="80"/>
            </w:pPr>
            <w:r>
              <w:rPr>
                <w:color w:val="6B7280"/>
                <w:sz w:val="17"/>
              </w:rPr>
              <w:t>Client value: less friction, clearer accountability and stronger retention.</w:t>
            </w:r>
          </w:p>
        </w:tc>
        <w:tc>
          <w:tcPr>
            <w:tcW w:w="5169" w:type="dxa"/>
            <w:tcBorders>
              <w:top w:val="single" w:sz="6" w:space="0" w:color="D9D2C8"/>
              <w:left w:val="single" w:sz="6" w:space="0" w:color="D9D2C8"/>
              <w:bottom w:val="single" w:sz="6" w:space="0" w:color="D9D2C8"/>
              <w:right w:val="single" w:sz="6" w:space="0" w:color="D9D2C8"/>
            </w:tcBorders>
            <w:shd w:val="clear" w:color="auto" w:fill="FFFFFF"/>
          </w:tcPr>
          <w:p w14:paraId="2F6728E5" w14:textId="77777777" w:rsidR="00FD06CB" w:rsidRPr="00B82B44" w:rsidRDefault="00492363">
            <w:pPr>
              <w:rPr>
                <w:color w:val="A6381A"/>
              </w:rPr>
            </w:pPr>
            <w:r w:rsidRPr="00B82B44">
              <w:rPr>
                <w:b/>
                <w:color w:val="A6381A"/>
                <w:sz w:val="30"/>
              </w:rPr>
              <w:t>Mobilisation &amp; Compliance</w:t>
            </w:r>
          </w:p>
          <w:p w14:paraId="2398B667" w14:textId="77777777" w:rsidR="00FD06CB" w:rsidRDefault="00492363">
            <w:r>
              <w:rPr>
                <w:color w:val="1F1F1F"/>
              </w:rPr>
              <w:t>Medicals, D&amp;A, inductions, licences, onboarding and site-readiness support.</w:t>
            </w:r>
          </w:p>
          <w:p w14:paraId="349A65C2" w14:textId="77777777" w:rsidR="00FD06CB" w:rsidRDefault="00492363">
            <w:pPr>
              <w:spacing w:before="80"/>
            </w:pPr>
            <w:r>
              <w:rPr>
                <w:color w:val="6B7280"/>
                <w:sz w:val="17"/>
              </w:rPr>
              <w:t>Client value: less friction, clearer accountability and stronger retention.</w:t>
            </w:r>
          </w:p>
        </w:tc>
      </w:tr>
      <w:tr w:rsidR="00FD06CB" w14:paraId="4A41C12E" w14:textId="77777777" w:rsidTr="00F0300E">
        <w:trPr>
          <w:trHeight w:val="2357"/>
          <w:jc w:val="center"/>
        </w:trPr>
        <w:tc>
          <w:tcPr>
            <w:tcW w:w="5169" w:type="dxa"/>
            <w:tcBorders>
              <w:top w:val="single" w:sz="6" w:space="0" w:color="D9D2C8"/>
              <w:left w:val="single" w:sz="6" w:space="0" w:color="D9D2C8"/>
              <w:bottom w:val="single" w:sz="6" w:space="0" w:color="D9D2C8"/>
              <w:right w:val="single" w:sz="6" w:space="0" w:color="D9D2C8"/>
            </w:tcBorders>
            <w:shd w:val="clear" w:color="auto" w:fill="F5F2ED"/>
          </w:tcPr>
          <w:p w14:paraId="580913E1" w14:textId="77777777" w:rsidR="00FD06CB" w:rsidRPr="00B82B44" w:rsidRDefault="00492363">
            <w:pPr>
              <w:rPr>
                <w:color w:val="A6381A"/>
              </w:rPr>
            </w:pPr>
            <w:r w:rsidRPr="00B82B44">
              <w:rPr>
                <w:b/>
                <w:color w:val="A6381A"/>
                <w:sz w:val="30"/>
              </w:rPr>
              <w:t>Reporting &amp; Evidence</w:t>
            </w:r>
          </w:p>
          <w:p w14:paraId="6F4C8BD5" w14:textId="77777777" w:rsidR="00FD06CB" w:rsidRDefault="00492363">
            <w:r>
              <w:rPr>
                <w:color w:val="1F1F1F"/>
              </w:rPr>
              <w:t>Weekly and monthly reporting for participation, mentoring, issues and outcomes.</w:t>
            </w:r>
          </w:p>
          <w:p w14:paraId="669D5633" w14:textId="77777777" w:rsidR="00FD06CB" w:rsidRDefault="00492363">
            <w:pPr>
              <w:spacing w:before="80"/>
            </w:pPr>
            <w:r>
              <w:rPr>
                <w:color w:val="6B7280"/>
                <w:sz w:val="17"/>
              </w:rPr>
              <w:t>Client value: less friction, clearer accountability and stronger retention.</w:t>
            </w:r>
          </w:p>
        </w:tc>
        <w:tc>
          <w:tcPr>
            <w:tcW w:w="5169" w:type="dxa"/>
            <w:tcBorders>
              <w:top w:val="single" w:sz="6" w:space="0" w:color="D9D2C8"/>
              <w:left w:val="single" w:sz="6" w:space="0" w:color="D9D2C8"/>
              <w:bottom w:val="single" w:sz="6" w:space="0" w:color="D9D2C8"/>
              <w:right w:val="single" w:sz="6" w:space="0" w:color="D9D2C8"/>
            </w:tcBorders>
            <w:shd w:val="clear" w:color="auto" w:fill="FFFFFF"/>
          </w:tcPr>
          <w:p w14:paraId="3D00CB0E" w14:textId="77777777" w:rsidR="00FD06CB" w:rsidRPr="00B82B44" w:rsidRDefault="00492363">
            <w:pPr>
              <w:rPr>
                <w:color w:val="A6381A"/>
              </w:rPr>
            </w:pPr>
            <w:r w:rsidRPr="00B82B44">
              <w:rPr>
                <w:b/>
                <w:color w:val="A6381A"/>
                <w:sz w:val="30"/>
              </w:rPr>
              <w:t>Workforce Planning</w:t>
            </w:r>
          </w:p>
          <w:p w14:paraId="627A9A78" w14:textId="77777777" w:rsidR="00FD06CB" w:rsidRDefault="00492363">
            <w:r>
              <w:rPr>
                <w:color w:val="1F1F1F"/>
              </w:rPr>
              <w:t>Training pathways, retention strategies and leadership development.</w:t>
            </w:r>
          </w:p>
          <w:p w14:paraId="1484EB40" w14:textId="77777777" w:rsidR="00FD06CB" w:rsidRDefault="00492363">
            <w:pPr>
              <w:spacing w:before="80"/>
            </w:pPr>
            <w:r>
              <w:rPr>
                <w:color w:val="6B7280"/>
                <w:sz w:val="17"/>
              </w:rPr>
              <w:t>Client value: less friction, clearer accountability and stronger retention.</w:t>
            </w:r>
          </w:p>
        </w:tc>
      </w:tr>
    </w:tbl>
    <w:p w14:paraId="579CCDC3" w14:textId="77777777" w:rsidR="00FD06CB" w:rsidRDefault="00492363">
      <w:r>
        <w:br w:type="page"/>
      </w:r>
    </w:p>
    <w:p w14:paraId="358E99B1" w14:textId="77777777" w:rsidR="00FD06CB" w:rsidRDefault="00492363">
      <w:pPr>
        <w:spacing w:after="80"/>
      </w:pPr>
      <w:r>
        <w:rPr>
          <w:b/>
          <w:color w:val="C46A28"/>
          <w:sz w:val="16"/>
        </w:rPr>
        <w:lastRenderedPageBreak/>
        <w:t>PROCUREMENT-READY</w:t>
      </w:r>
    </w:p>
    <w:p w14:paraId="3AAAEBB3" w14:textId="77777777" w:rsidR="00FD06CB" w:rsidRPr="00B82B44" w:rsidRDefault="00492363">
      <w:pPr>
        <w:spacing w:after="160"/>
      </w:pPr>
      <w:r w:rsidRPr="00B82B44">
        <w:rPr>
          <w:b/>
          <w:sz w:val="48"/>
        </w:rPr>
        <w:t>What major clients look for</w:t>
      </w:r>
    </w:p>
    <w:p w14:paraId="4A21080B" w14:textId="77777777" w:rsidR="00FD06CB" w:rsidRDefault="00492363">
      <w:pPr>
        <w:spacing w:after="280" w:line="259" w:lineRule="auto"/>
      </w:pPr>
      <w:r>
        <w:rPr>
          <w:color w:val="1F1F1F"/>
          <w:sz w:val="21"/>
        </w:rPr>
        <w:t>Major contractors and large organisations want suppliers who reduce risk, support safety, demonstrate capability and provide evidence. AIM's capability statement is structured around the things procurement, project teams and community/social value teams commonly assess.</w:t>
      </w:r>
    </w:p>
    <w:tbl>
      <w:tblPr>
        <w:tblW w:w="0" w:type="auto"/>
        <w:jc w:val="center"/>
        <w:tblLayout w:type="fixed"/>
        <w:tblLook w:val="04A0" w:firstRow="1" w:lastRow="0" w:firstColumn="1" w:lastColumn="0" w:noHBand="0" w:noVBand="1"/>
      </w:tblPr>
      <w:tblGrid>
        <w:gridCol w:w="5162"/>
        <w:gridCol w:w="5162"/>
      </w:tblGrid>
      <w:tr w:rsidR="00FD06CB" w14:paraId="21DDECBF" w14:textId="77777777" w:rsidTr="00F0300E">
        <w:trPr>
          <w:trHeight w:val="1070"/>
          <w:jc w:val="center"/>
        </w:trPr>
        <w:tc>
          <w:tcPr>
            <w:tcW w:w="5162" w:type="dxa"/>
            <w:tcBorders>
              <w:top w:val="single" w:sz="4" w:space="0" w:color="FFFFFF"/>
              <w:left w:val="single" w:sz="4" w:space="0" w:color="FFFFFF"/>
              <w:bottom w:val="single" w:sz="4" w:space="0" w:color="FFFFFF"/>
              <w:right w:val="single" w:sz="4" w:space="0" w:color="FFFFFF"/>
            </w:tcBorders>
            <w:shd w:val="clear" w:color="auto" w:fill="2F3437"/>
          </w:tcPr>
          <w:p w14:paraId="703E7BEA" w14:textId="77777777" w:rsidR="00FD06CB" w:rsidRPr="00B82B44" w:rsidRDefault="00492363">
            <w:pPr>
              <w:rPr>
                <w:color w:val="FFFFFF" w:themeColor="background1"/>
              </w:rPr>
            </w:pPr>
            <w:r w:rsidRPr="00B82B44">
              <w:rPr>
                <w:b/>
                <w:color w:val="FFFFFF" w:themeColor="background1"/>
                <w:sz w:val="21"/>
              </w:rPr>
              <w:t>Safety &amp; fitness for work</w:t>
            </w:r>
          </w:p>
        </w:tc>
        <w:tc>
          <w:tcPr>
            <w:tcW w:w="5162" w:type="dxa"/>
            <w:tcBorders>
              <w:top w:val="single" w:sz="4" w:space="0" w:color="FFFFFF"/>
              <w:left w:val="single" w:sz="4" w:space="0" w:color="FFFFFF"/>
              <w:bottom w:val="single" w:sz="4" w:space="0" w:color="FFFFFF"/>
              <w:right w:val="single" w:sz="4" w:space="0" w:color="FFFFFF"/>
            </w:tcBorders>
            <w:shd w:val="clear" w:color="auto" w:fill="F5F2ED"/>
          </w:tcPr>
          <w:p w14:paraId="2824ABC2" w14:textId="77777777" w:rsidR="00FD06CB" w:rsidRDefault="00492363">
            <w:r>
              <w:rPr>
                <w:color w:val="1F1F1F"/>
                <w:sz w:val="21"/>
              </w:rPr>
              <w:t>Workers prepared, checked and supported to meet site expectations.</w:t>
            </w:r>
          </w:p>
        </w:tc>
      </w:tr>
      <w:tr w:rsidR="00FD06CB" w14:paraId="567DE974" w14:textId="77777777" w:rsidTr="00F0300E">
        <w:trPr>
          <w:trHeight w:val="1090"/>
          <w:jc w:val="center"/>
        </w:trPr>
        <w:tc>
          <w:tcPr>
            <w:tcW w:w="5162" w:type="dxa"/>
            <w:tcBorders>
              <w:top w:val="single" w:sz="4" w:space="0" w:color="FFFFFF"/>
              <w:left w:val="single" w:sz="4" w:space="0" w:color="FFFFFF"/>
              <w:bottom w:val="single" w:sz="4" w:space="0" w:color="FFFFFF"/>
              <w:right w:val="single" w:sz="4" w:space="0" w:color="FFFFFF"/>
            </w:tcBorders>
            <w:shd w:val="clear" w:color="auto" w:fill="8C9A82"/>
          </w:tcPr>
          <w:p w14:paraId="59D028DC" w14:textId="77777777" w:rsidR="00FD06CB" w:rsidRPr="00B82B44" w:rsidRDefault="00492363">
            <w:pPr>
              <w:rPr>
                <w:color w:val="FFFFFF" w:themeColor="background1"/>
              </w:rPr>
            </w:pPr>
            <w:r w:rsidRPr="00B82B44">
              <w:rPr>
                <w:b/>
                <w:color w:val="FFFFFF" w:themeColor="background1"/>
                <w:sz w:val="21"/>
              </w:rPr>
              <w:t>Compliance discipline</w:t>
            </w:r>
          </w:p>
        </w:tc>
        <w:tc>
          <w:tcPr>
            <w:tcW w:w="5162" w:type="dxa"/>
            <w:tcBorders>
              <w:top w:val="single" w:sz="4" w:space="0" w:color="FFFFFF"/>
              <w:left w:val="single" w:sz="4" w:space="0" w:color="FFFFFF"/>
              <w:bottom w:val="single" w:sz="4" w:space="0" w:color="FFFFFF"/>
              <w:right w:val="single" w:sz="4" w:space="0" w:color="FFFFFF"/>
            </w:tcBorders>
            <w:shd w:val="clear" w:color="auto" w:fill="FFFFFF"/>
          </w:tcPr>
          <w:p w14:paraId="21BC7915" w14:textId="77777777" w:rsidR="00FD06CB" w:rsidRDefault="00492363">
            <w:r>
              <w:rPr>
                <w:color w:val="1F1F1F"/>
                <w:sz w:val="21"/>
              </w:rPr>
              <w:t>Onboarding, licences, site requirements and documentation managed clearly.</w:t>
            </w:r>
          </w:p>
        </w:tc>
      </w:tr>
      <w:tr w:rsidR="00FD06CB" w14:paraId="27B6B424" w14:textId="77777777" w:rsidTr="00F0300E">
        <w:trPr>
          <w:trHeight w:val="1070"/>
          <w:jc w:val="center"/>
        </w:trPr>
        <w:tc>
          <w:tcPr>
            <w:tcW w:w="5162" w:type="dxa"/>
            <w:tcBorders>
              <w:top w:val="single" w:sz="4" w:space="0" w:color="FFFFFF"/>
              <w:left w:val="single" w:sz="4" w:space="0" w:color="FFFFFF"/>
              <w:bottom w:val="single" w:sz="4" w:space="0" w:color="FFFFFF"/>
              <w:right w:val="single" w:sz="4" w:space="0" w:color="FFFFFF"/>
            </w:tcBorders>
            <w:shd w:val="clear" w:color="auto" w:fill="2F3437"/>
          </w:tcPr>
          <w:p w14:paraId="3771E447" w14:textId="77777777" w:rsidR="00FD06CB" w:rsidRPr="00B82B44" w:rsidRDefault="00492363">
            <w:pPr>
              <w:rPr>
                <w:color w:val="FFFFFF" w:themeColor="background1"/>
              </w:rPr>
            </w:pPr>
            <w:r w:rsidRPr="00B82B44">
              <w:rPr>
                <w:b/>
                <w:color w:val="FFFFFF" w:themeColor="background1"/>
                <w:sz w:val="21"/>
              </w:rPr>
              <w:t>Capacity to deliver</w:t>
            </w:r>
          </w:p>
        </w:tc>
        <w:tc>
          <w:tcPr>
            <w:tcW w:w="5162" w:type="dxa"/>
            <w:tcBorders>
              <w:top w:val="single" w:sz="4" w:space="0" w:color="FFFFFF"/>
              <w:left w:val="single" w:sz="4" w:space="0" w:color="FFFFFF"/>
              <w:bottom w:val="single" w:sz="4" w:space="0" w:color="FFFFFF"/>
              <w:right w:val="single" w:sz="4" w:space="0" w:color="FFFFFF"/>
            </w:tcBorders>
            <w:shd w:val="clear" w:color="auto" w:fill="F5F2ED"/>
          </w:tcPr>
          <w:p w14:paraId="274F492B" w14:textId="77777777" w:rsidR="00FD06CB" w:rsidRDefault="00492363">
            <w:r>
              <w:rPr>
                <w:color w:val="1F1F1F"/>
                <w:sz w:val="21"/>
              </w:rPr>
              <w:t>Practical workforce supply supported by mentoring, supervision engagement and reporting.</w:t>
            </w:r>
          </w:p>
        </w:tc>
      </w:tr>
      <w:tr w:rsidR="00FD06CB" w14:paraId="6A2F1142" w14:textId="77777777" w:rsidTr="00F0300E">
        <w:trPr>
          <w:trHeight w:val="1070"/>
          <w:jc w:val="center"/>
        </w:trPr>
        <w:tc>
          <w:tcPr>
            <w:tcW w:w="5162" w:type="dxa"/>
            <w:tcBorders>
              <w:top w:val="single" w:sz="4" w:space="0" w:color="FFFFFF"/>
              <w:left w:val="single" w:sz="4" w:space="0" w:color="FFFFFF"/>
              <w:bottom w:val="single" w:sz="4" w:space="0" w:color="FFFFFF"/>
              <w:right w:val="single" w:sz="4" w:space="0" w:color="FFFFFF"/>
            </w:tcBorders>
            <w:shd w:val="clear" w:color="auto" w:fill="8C9A82"/>
          </w:tcPr>
          <w:p w14:paraId="2729816D" w14:textId="77777777" w:rsidR="00FD06CB" w:rsidRPr="00B82B44" w:rsidRDefault="00492363">
            <w:pPr>
              <w:rPr>
                <w:color w:val="FFFFFF" w:themeColor="background1"/>
              </w:rPr>
            </w:pPr>
            <w:r w:rsidRPr="00B82B44">
              <w:rPr>
                <w:b/>
                <w:color w:val="FFFFFF" w:themeColor="background1"/>
                <w:sz w:val="21"/>
              </w:rPr>
              <w:t>Social procurement outcomes</w:t>
            </w:r>
          </w:p>
        </w:tc>
        <w:tc>
          <w:tcPr>
            <w:tcW w:w="5162" w:type="dxa"/>
            <w:tcBorders>
              <w:top w:val="single" w:sz="4" w:space="0" w:color="FFFFFF"/>
              <w:left w:val="single" w:sz="4" w:space="0" w:color="FFFFFF"/>
              <w:bottom w:val="single" w:sz="4" w:space="0" w:color="FFFFFF"/>
              <w:right w:val="single" w:sz="4" w:space="0" w:color="FFFFFF"/>
            </w:tcBorders>
            <w:shd w:val="clear" w:color="auto" w:fill="FFFFFF"/>
          </w:tcPr>
          <w:p w14:paraId="7E56FCD9" w14:textId="77777777" w:rsidR="00FD06CB" w:rsidRDefault="00492363">
            <w:r>
              <w:rPr>
                <w:color w:val="1F1F1F"/>
                <w:sz w:val="21"/>
              </w:rPr>
              <w:t>Genuine Aboriginal participation, retention and development outcomes clients can evidence.</w:t>
            </w:r>
          </w:p>
        </w:tc>
      </w:tr>
      <w:tr w:rsidR="00FD06CB" w14:paraId="0B445D2B" w14:textId="77777777" w:rsidTr="00F0300E">
        <w:trPr>
          <w:trHeight w:val="1090"/>
          <w:jc w:val="center"/>
        </w:trPr>
        <w:tc>
          <w:tcPr>
            <w:tcW w:w="5162" w:type="dxa"/>
            <w:tcBorders>
              <w:top w:val="single" w:sz="4" w:space="0" w:color="FFFFFF"/>
              <w:left w:val="single" w:sz="4" w:space="0" w:color="FFFFFF"/>
              <w:bottom w:val="single" w:sz="4" w:space="0" w:color="FFFFFF"/>
              <w:right w:val="single" w:sz="4" w:space="0" w:color="FFFFFF"/>
            </w:tcBorders>
            <w:shd w:val="clear" w:color="auto" w:fill="2F3437"/>
          </w:tcPr>
          <w:p w14:paraId="2AB5F7B4" w14:textId="69F0FD5A" w:rsidR="00FD06CB" w:rsidRPr="00B82B44" w:rsidRDefault="00492363">
            <w:pPr>
              <w:rPr>
                <w:color w:val="FFFFFF" w:themeColor="background1"/>
              </w:rPr>
            </w:pPr>
            <w:r w:rsidRPr="00B82B44">
              <w:rPr>
                <w:b/>
                <w:color w:val="FFFFFF" w:themeColor="background1"/>
                <w:sz w:val="21"/>
              </w:rPr>
              <w:t xml:space="preserve">Ethics &amp; </w:t>
            </w:r>
            <w:r w:rsidR="00B82B44" w:rsidRPr="00B82B44">
              <w:rPr>
                <w:b/>
                <w:color w:val="FFFFFF" w:themeColor="background1"/>
                <w:sz w:val="21"/>
              </w:rPr>
              <w:t>G</w:t>
            </w:r>
            <w:r w:rsidRPr="00B82B44">
              <w:rPr>
                <w:b/>
                <w:color w:val="FFFFFF" w:themeColor="background1"/>
                <w:sz w:val="21"/>
              </w:rPr>
              <w:t>overnance</w:t>
            </w:r>
          </w:p>
        </w:tc>
        <w:tc>
          <w:tcPr>
            <w:tcW w:w="5162" w:type="dxa"/>
            <w:tcBorders>
              <w:top w:val="single" w:sz="4" w:space="0" w:color="FFFFFF"/>
              <w:left w:val="single" w:sz="4" w:space="0" w:color="FFFFFF"/>
              <w:bottom w:val="single" w:sz="4" w:space="0" w:color="FFFFFF"/>
              <w:right w:val="single" w:sz="4" w:space="0" w:color="FFFFFF"/>
            </w:tcBorders>
            <w:shd w:val="clear" w:color="auto" w:fill="F5F2ED"/>
          </w:tcPr>
          <w:p w14:paraId="21EC8F5B" w14:textId="77777777" w:rsidR="00FD06CB" w:rsidRDefault="00492363">
            <w:r>
              <w:rPr>
                <w:color w:val="1F1F1F"/>
                <w:sz w:val="21"/>
              </w:rPr>
              <w:t>Transparent communication, confidentiality and accountable escalation pathways.</w:t>
            </w:r>
          </w:p>
        </w:tc>
      </w:tr>
      <w:tr w:rsidR="00FD06CB" w14:paraId="4FFAC866" w14:textId="77777777" w:rsidTr="00F0300E">
        <w:trPr>
          <w:trHeight w:val="1070"/>
          <w:jc w:val="center"/>
        </w:trPr>
        <w:tc>
          <w:tcPr>
            <w:tcW w:w="5162" w:type="dxa"/>
            <w:tcBorders>
              <w:top w:val="single" w:sz="4" w:space="0" w:color="FFFFFF"/>
              <w:left w:val="single" w:sz="4" w:space="0" w:color="FFFFFF"/>
              <w:bottom w:val="single" w:sz="4" w:space="0" w:color="FFFFFF"/>
              <w:right w:val="single" w:sz="4" w:space="0" w:color="FFFFFF"/>
            </w:tcBorders>
            <w:shd w:val="clear" w:color="auto" w:fill="8C9A82"/>
          </w:tcPr>
          <w:p w14:paraId="58B6FC8F" w14:textId="77777777" w:rsidR="00FD06CB" w:rsidRPr="00B82B44" w:rsidRDefault="00492363">
            <w:pPr>
              <w:rPr>
                <w:color w:val="FFFFFF" w:themeColor="background1"/>
              </w:rPr>
            </w:pPr>
            <w:r w:rsidRPr="00B82B44">
              <w:rPr>
                <w:b/>
                <w:color w:val="FFFFFF" w:themeColor="background1"/>
                <w:sz w:val="21"/>
              </w:rPr>
              <w:t>Continuous improvement</w:t>
            </w:r>
          </w:p>
        </w:tc>
        <w:tc>
          <w:tcPr>
            <w:tcW w:w="5162" w:type="dxa"/>
            <w:tcBorders>
              <w:top w:val="single" w:sz="4" w:space="0" w:color="FFFFFF"/>
              <w:left w:val="single" w:sz="4" w:space="0" w:color="FFFFFF"/>
              <w:bottom w:val="single" w:sz="4" w:space="0" w:color="FFFFFF"/>
              <w:right w:val="single" w:sz="4" w:space="0" w:color="FFFFFF"/>
            </w:tcBorders>
            <w:shd w:val="clear" w:color="auto" w:fill="FFFFFF"/>
          </w:tcPr>
          <w:p w14:paraId="7F03CDCA" w14:textId="77777777" w:rsidR="00FD06CB" w:rsidRDefault="00492363">
            <w:r>
              <w:rPr>
                <w:color w:val="1F1F1F"/>
                <w:sz w:val="21"/>
              </w:rPr>
              <w:t>Workforce issues converted into practical actions, training and improved retention.</w:t>
            </w:r>
          </w:p>
        </w:tc>
      </w:tr>
    </w:tbl>
    <w:p w14:paraId="62E6E15F" w14:textId="77777777" w:rsidR="00FD06CB" w:rsidRDefault="00492363">
      <w:r>
        <w:br w:type="page"/>
      </w:r>
    </w:p>
    <w:p w14:paraId="4E60DE11" w14:textId="77777777" w:rsidR="00FD06CB" w:rsidRDefault="00492363">
      <w:pPr>
        <w:spacing w:after="80"/>
      </w:pPr>
      <w:r>
        <w:rPr>
          <w:b/>
          <w:color w:val="C46A28"/>
          <w:sz w:val="16"/>
        </w:rPr>
        <w:lastRenderedPageBreak/>
        <w:t>THE AIM MODEL</w:t>
      </w:r>
    </w:p>
    <w:p w14:paraId="753402DF" w14:textId="77777777" w:rsidR="00FD06CB" w:rsidRPr="00DC3DB7" w:rsidRDefault="00492363">
      <w:pPr>
        <w:spacing w:after="160"/>
      </w:pPr>
      <w:r w:rsidRPr="00DC3DB7">
        <w:rPr>
          <w:b/>
          <w:sz w:val="48"/>
        </w:rPr>
        <w:t>Recruit. Employ. Mentor. Report. Retain.</w:t>
      </w:r>
    </w:p>
    <w:tbl>
      <w:tblPr>
        <w:tblW w:w="0" w:type="auto"/>
        <w:jc w:val="center"/>
        <w:tblLayout w:type="fixed"/>
        <w:tblLook w:val="04A0" w:firstRow="1" w:lastRow="0" w:firstColumn="1" w:lastColumn="0" w:noHBand="0" w:noVBand="1"/>
      </w:tblPr>
      <w:tblGrid>
        <w:gridCol w:w="3442"/>
        <w:gridCol w:w="3442"/>
        <w:gridCol w:w="3442"/>
      </w:tblGrid>
      <w:tr w:rsidR="00FD06CB" w14:paraId="7A8116F1" w14:textId="77777777" w:rsidTr="00FC401E">
        <w:trPr>
          <w:trHeight w:val="1263"/>
          <w:jc w:val="center"/>
        </w:trPr>
        <w:tc>
          <w:tcPr>
            <w:tcW w:w="3442" w:type="dxa"/>
            <w:tcBorders>
              <w:top w:val="single" w:sz="4" w:space="0" w:color="FFFFFF"/>
              <w:left w:val="single" w:sz="4" w:space="0" w:color="FFFFFF"/>
              <w:bottom w:val="single" w:sz="4" w:space="0" w:color="FFFFFF"/>
              <w:right w:val="single" w:sz="4" w:space="0" w:color="FFFFFF"/>
            </w:tcBorders>
            <w:shd w:val="clear" w:color="auto" w:fill="8C9A82"/>
            <w:vAlign w:val="center"/>
          </w:tcPr>
          <w:p w14:paraId="675F16E7" w14:textId="77777777" w:rsidR="00FD06CB" w:rsidRDefault="00492363">
            <w:pPr>
              <w:jc w:val="center"/>
            </w:pPr>
            <w:r>
              <w:rPr>
                <w:b/>
                <w:color w:val="FFFFFF"/>
                <w:sz w:val="24"/>
              </w:rPr>
              <w:t>01</w:t>
            </w:r>
          </w:p>
        </w:tc>
        <w:tc>
          <w:tcPr>
            <w:tcW w:w="3442" w:type="dxa"/>
            <w:tcBorders>
              <w:top w:val="single" w:sz="4" w:space="0" w:color="FFFFFF"/>
              <w:left w:val="single" w:sz="4" w:space="0" w:color="FFFFFF"/>
              <w:bottom w:val="single" w:sz="4" w:space="0" w:color="FFFFFF"/>
              <w:right w:val="single" w:sz="4" w:space="0" w:color="FFFFFF"/>
            </w:tcBorders>
            <w:shd w:val="clear" w:color="auto" w:fill="C4BC96" w:themeFill="background2" w:themeFillShade="BF"/>
            <w:vAlign w:val="center"/>
          </w:tcPr>
          <w:p w14:paraId="45FE795A" w14:textId="77777777" w:rsidR="00FD06CB" w:rsidRDefault="00492363">
            <w:r>
              <w:rPr>
                <w:b/>
                <w:color w:val="FFFFFF"/>
                <w:sz w:val="22"/>
              </w:rPr>
              <w:t>Recruit</w:t>
            </w:r>
          </w:p>
        </w:tc>
        <w:tc>
          <w:tcPr>
            <w:tcW w:w="3442" w:type="dxa"/>
            <w:tcBorders>
              <w:top w:val="single" w:sz="4" w:space="0" w:color="FFFFFF"/>
              <w:left w:val="single" w:sz="4" w:space="0" w:color="FFFFFF"/>
              <w:bottom w:val="single" w:sz="4" w:space="0" w:color="FFFFFF"/>
              <w:right w:val="single" w:sz="4" w:space="0" w:color="FFFFFF"/>
            </w:tcBorders>
            <w:shd w:val="clear" w:color="auto" w:fill="F5F2ED"/>
            <w:vAlign w:val="center"/>
          </w:tcPr>
          <w:p w14:paraId="4E825EF1" w14:textId="77777777" w:rsidR="00FD06CB" w:rsidRDefault="00492363">
            <w:r>
              <w:rPr>
                <w:color w:val="1F1F1F"/>
              </w:rPr>
              <w:t>Source and screen candidates aligned to client roles and site requirements.</w:t>
            </w:r>
          </w:p>
        </w:tc>
      </w:tr>
      <w:tr w:rsidR="00FD06CB" w14:paraId="1B082F9B" w14:textId="77777777" w:rsidTr="00FC401E">
        <w:trPr>
          <w:trHeight w:val="1263"/>
          <w:jc w:val="center"/>
        </w:trPr>
        <w:tc>
          <w:tcPr>
            <w:tcW w:w="3442" w:type="dxa"/>
            <w:tcBorders>
              <w:top w:val="single" w:sz="4" w:space="0" w:color="FFFFFF"/>
              <w:left w:val="single" w:sz="4" w:space="0" w:color="FFFFFF"/>
              <w:bottom w:val="single" w:sz="4" w:space="0" w:color="FFFFFF"/>
              <w:right w:val="single" w:sz="4" w:space="0" w:color="FFFFFF"/>
            </w:tcBorders>
            <w:shd w:val="clear" w:color="auto" w:fill="2F3437"/>
            <w:vAlign w:val="center"/>
          </w:tcPr>
          <w:p w14:paraId="455A221F" w14:textId="77777777" w:rsidR="00FD06CB" w:rsidRDefault="00492363">
            <w:pPr>
              <w:jc w:val="center"/>
            </w:pPr>
            <w:r>
              <w:rPr>
                <w:b/>
                <w:color w:val="FFFFFF"/>
                <w:sz w:val="24"/>
              </w:rPr>
              <w:t>02</w:t>
            </w:r>
          </w:p>
        </w:tc>
        <w:tc>
          <w:tcPr>
            <w:tcW w:w="3442" w:type="dxa"/>
            <w:tcBorders>
              <w:top w:val="single" w:sz="4" w:space="0" w:color="FFFFFF"/>
              <w:left w:val="single" w:sz="4" w:space="0" w:color="FFFFFF"/>
              <w:bottom w:val="single" w:sz="4" w:space="0" w:color="FFFFFF"/>
              <w:right w:val="single" w:sz="4" w:space="0" w:color="FFFFFF"/>
            </w:tcBorders>
            <w:shd w:val="clear" w:color="auto" w:fill="C4BC96" w:themeFill="background2" w:themeFillShade="BF"/>
            <w:vAlign w:val="center"/>
          </w:tcPr>
          <w:p w14:paraId="2DDBE1CB" w14:textId="77777777" w:rsidR="00FD06CB" w:rsidRDefault="00492363">
            <w:r>
              <w:rPr>
                <w:b/>
                <w:color w:val="FFFFFF"/>
                <w:sz w:val="22"/>
              </w:rPr>
              <w:t>Prepare</w:t>
            </w:r>
          </w:p>
        </w:tc>
        <w:tc>
          <w:tcPr>
            <w:tcW w:w="3442" w:type="dxa"/>
            <w:tcBorders>
              <w:top w:val="single" w:sz="4" w:space="0" w:color="FFFFFF"/>
              <w:left w:val="single" w:sz="4" w:space="0" w:color="FFFFFF"/>
              <w:bottom w:val="single" w:sz="4" w:space="0" w:color="FFFFFF"/>
              <w:right w:val="single" w:sz="4" w:space="0" w:color="FFFFFF"/>
            </w:tcBorders>
            <w:shd w:val="clear" w:color="auto" w:fill="FFFFFF"/>
            <w:vAlign w:val="center"/>
          </w:tcPr>
          <w:p w14:paraId="6771FD1D" w14:textId="77777777" w:rsidR="00FD06CB" w:rsidRDefault="00492363">
            <w:r>
              <w:rPr>
                <w:color w:val="1F1F1F"/>
              </w:rPr>
              <w:t>Confirm licences, tickets, medicals, D&amp;A, PPE, payroll and onboarding requirements.</w:t>
            </w:r>
          </w:p>
        </w:tc>
      </w:tr>
      <w:tr w:rsidR="00FD06CB" w14:paraId="0E996DB4" w14:textId="77777777" w:rsidTr="00FC401E">
        <w:trPr>
          <w:trHeight w:val="1263"/>
          <w:jc w:val="center"/>
        </w:trPr>
        <w:tc>
          <w:tcPr>
            <w:tcW w:w="3442" w:type="dxa"/>
            <w:tcBorders>
              <w:top w:val="single" w:sz="4" w:space="0" w:color="FFFFFF"/>
              <w:left w:val="single" w:sz="4" w:space="0" w:color="FFFFFF"/>
              <w:bottom w:val="single" w:sz="4" w:space="0" w:color="FFFFFF"/>
              <w:right w:val="single" w:sz="4" w:space="0" w:color="FFFFFF"/>
            </w:tcBorders>
            <w:shd w:val="clear" w:color="auto" w:fill="8C9A82"/>
            <w:vAlign w:val="center"/>
          </w:tcPr>
          <w:p w14:paraId="241720A2" w14:textId="77777777" w:rsidR="00FD06CB" w:rsidRDefault="00492363">
            <w:pPr>
              <w:jc w:val="center"/>
            </w:pPr>
            <w:r>
              <w:rPr>
                <w:b/>
                <w:color w:val="FFFFFF"/>
                <w:sz w:val="24"/>
              </w:rPr>
              <w:t>03</w:t>
            </w:r>
          </w:p>
        </w:tc>
        <w:tc>
          <w:tcPr>
            <w:tcW w:w="3442" w:type="dxa"/>
            <w:tcBorders>
              <w:top w:val="single" w:sz="4" w:space="0" w:color="FFFFFF"/>
              <w:left w:val="single" w:sz="4" w:space="0" w:color="FFFFFF"/>
              <w:bottom w:val="single" w:sz="4" w:space="0" w:color="FFFFFF"/>
              <w:right w:val="single" w:sz="4" w:space="0" w:color="FFFFFF"/>
            </w:tcBorders>
            <w:shd w:val="clear" w:color="auto" w:fill="C4BC96" w:themeFill="background2" w:themeFillShade="BF"/>
            <w:vAlign w:val="center"/>
          </w:tcPr>
          <w:p w14:paraId="264B99BB" w14:textId="77777777" w:rsidR="00FD06CB" w:rsidRDefault="00492363">
            <w:r>
              <w:rPr>
                <w:b/>
                <w:color w:val="FFFFFF"/>
                <w:sz w:val="22"/>
              </w:rPr>
              <w:t>Mobilise</w:t>
            </w:r>
          </w:p>
        </w:tc>
        <w:tc>
          <w:tcPr>
            <w:tcW w:w="3442" w:type="dxa"/>
            <w:tcBorders>
              <w:top w:val="single" w:sz="4" w:space="0" w:color="FFFFFF"/>
              <w:left w:val="single" w:sz="4" w:space="0" w:color="FFFFFF"/>
              <w:bottom w:val="single" w:sz="4" w:space="0" w:color="FFFFFF"/>
              <w:right w:val="single" w:sz="4" w:space="0" w:color="FFFFFF"/>
            </w:tcBorders>
            <w:shd w:val="clear" w:color="auto" w:fill="F5F2ED"/>
            <w:vAlign w:val="center"/>
          </w:tcPr>
          <w:p w14:paraId="3D555B39" w14:textId="77777777" w:rsidR="00FD06CB" w:rsidRDefault="00492363">
            <w:r>
              <w:rPr>
                <w:color w:val="1F1F1F"/>
              </w:rPr>
              <w:t>Coordinate start dates, site inductions, rosters and supervisor communication.</w:t>
            </w:r>
          </w:p>
        </w:tc>
      </w:tr>
      <w:tr w:rsidR="00FD06CB" w14:paraId="1B97595E" w14:textId="77777777" w:rsidTr="00FC401E">
        <w:trPr>
          <w:trHeight w:val="1281"/>
          <w:jc w:val="center"/>
        </w:trPr>
        <w:tc>
          <w:tcPr>
            <w:tcW w:w="3442" w:type="dxa"/>
            <w:tcBorders>
              <w:top w:val="single" w:sz="4" w:space="0" w:color="FFFFFF"/>
              <w:left w:val="single" w:sz="4" w:space="0" w:color="FFFFFF"/>
              <w:bottom w:val="single" w:sz="4" w:space="0" w:color="FFFFFF"/>
              <w:right w:val="single" w:sz="4" w:space="0" w:color="FFFFFF"/>
            </w:tcBorders>
            <w:shd w:val="clear" w:color="auto" w:fill="2F3437"/>
            <w:vAlign w:val="center"/>
          </w:tcPr>
          <w:p w14:paraId="2F125D9F" w14:textId="77777777" w:rsidR="00FD06CB" w:rsidRDefault="00492363">
            <w:pPr>
              <w:jc w:val="center"/>
            </w:pPr>
            <w:r>
              <w:rPr>
                <w:b/>
                <w:color w:val="FFFFFF"/>
                <w:sz w:val="24"/>
              </w:rPr>
              <w:t>04</w:t>
            </w:r>
          </w:p>
        </w:tc>
        <w:tc>
          <w:tcPr>
            <w:tcW w:w="3442" w:type="dxa"/>
            <w:tcBorders>
              <w:top w:val="single" w:sz="4" w:space="0" w:color="FFFFFF"/>
              <w:left w:val="single" w:sz="4" w:space="0" w:color="FFFFFF"/>
              <w:bottom w:val="single" w:sz="4" w:space="0" w:color="FFFFFF"/>
              <w:right w:val="single" w:sz="4" w:space="0" w:color="FFFFFF"/>
            </w:tcBorders>
            <w:shd w:val="clear" w:color="auto" w:fill="C4BC96" w:themeFill="background2" w:themeFillShade="BF"/>
            <w:vAlign w:val="center"/>
          </w:tcPr>
          <w:p w14:paraId="6E9E5E52" w14:textId="77777777" w:rsidR="00FD06CB" w:rsidRDefault="00492363">
            <w:r>
              <w:rPr>
                <w:b/>
                <w:color w:val="FFFFFF"/>
                <w:sz w:val="22"/>
              </w:rPr>
              <w:t>Mentor</w:t>
            </w:r>
          </w:p>
        </w:tc>
        <w:tc>
          <w:tcPr>
            <w:tcW w:w="3442" w:type="dxa"/>
            <w:tcBorders>
              <w:top w:val="single" w:sz="4" w:space="0" w:color="FFFFFF"/>
              <w:left w:val="single" w:sz="4" w:space="0" w:color="FFFFFF"/>
              <w:bottom w:val="single" w:sz="4" w:space="0" w:color="FFFFFF"/>
              <w:right w:val="single" w:sz="4" w:space="0" w:color="FFFFFF"/>
            </w:tcBorders>
            <w:shd w:val="clear" w:color="auto" w:fill="FFFFFF"/>
            <w:vAlign w:val="center"/>
          </w:tcPr>
          <w:p w14:paraId="4C956D85" w14:textId="77777777" w:rsidR="00FD06CB" w:rsidRDefault="00492363">
            <w:r>
              <w:rPr>
                <w:color w:val="1F1F1F"/>
              </w:rPr>
              <w:t>Maintain regular worker engagement, welfare support and workplace guidance.</w:t>
            </w:r>
          </w:p>
        </w:tc>
      </w:tr>
      <w:tr w:rsidR="00FD06CB" w14:paraId="56AA39FA" w14:textId="77777777" w:rsidTr="00FC401E">
        <w:trPr>
          <w:trHeight w:val="1263"/>
          <w:jc w:val="center"/>
        </w:trPr>
        <w:tc>
          <w:tcPr>
            <w:tcW w:w="3442" w:type="dxa"/>
            <w:tcBorders>
              <w:top w:val="single" w:sz="4" w:space="0" w:color="FFFFFF"/>
              <w:left w:val="single" w:sz="4" w:space="0" w:color="FFFFFF"/>
              <w:bottom w:val="single" w:sz="4" w:space="0" w:color="FFFFFF"/>
              <w:right w:val="single" w:sz="4" w:space="0" w:color="FFFFFF"/>
            </w:tcBorders>
            <w:shd w:val="clear" w:color="auto" w:fill="8C9A82"/>
            <w:vAlign w:val="center"/>
          </w:tcPr>
          <w:p w14:paraId="184C1AA8" w14:textId="77777777" w:rsidR="00FD06CB" w:rsidRDefault="00492363">
            <w:pPr>
              <w:jc w:val="center"/>
            </w:pPr>
            <w:r>
              <w:rPr>
                <w:b/>
                <w:color w:val="FFFFFF"/>
                <w:sz w:val="24"/>
              </w:rPr>
              <w:t>05</w:t>
            </w:r>
          </w:p>
        </w:tc>
        <w:tc>
          <w:tcPr>
            <w:tcW w:w="3442" w:type="dxa"/>
            <w:tcBorders>
              <w:top w:val="single" w:sz="4" w:space="0" w:color="FFFFFF"/>
              <w:left w:val="single" w:sz="4" w:space="0" w:color="FFFFFF"/>
              <w:bottom w:val="single" w:sz="4" w:space="0" w:color="FFFFFF"/>
              <w:right w:val="single" w:sz="4" w:space="0" w:color="FFFFFF"/>
            </w:tcBorders>
            <w:shd w:val="clear" w:color="auto" w:fill="C4BC96" w:themeFill="background2" w:themeFillShade="BF"/>
            <w:vAlign w:val="center"/>
          </w:tcPr>
          <w:p w14:paraId="3AA758A7" w14:textId="77777777" w:rsidR="00FD06CB" w:rsidRDefault="00492363">
            <w:r>
              <w:rPr>
                <w:b/>
                <w:color w:val="FFFFFF"/>
                <w:sz w:val="22"/>
              </w:rPr>
              <w:t>Report</w:t>
            </w:r>
          </w:p>
        </w:tc>
        <w:tc>
          <w:tcPr>
            <w:tcW w:w="3442" w:type="dxa"/>
            <w:tcBorders>
              <w:top w:val="single" w:sz="4" w:space="0" w:color="FFFFFF"/>
              <w:left w:val="single" w:sz="4" w:space="0" w:color="FFFFFF"/>
              <w:bottom w:val="single" w:sz="4" w:space="0" w:color="FFFFFF"/>
              <w:right w:val="single" w:sz="4" w:space="0" w:color="FFFFFF"/>
            </w:tcBorders>
            <w:shd w:val="clear" w:color="auto" w:fill="F5F2ED"/>
            <w:vAlign w:val="center"/>
          </w:tcPr>
          <w:p w14:paraId="4100CC4B" w14:textId="77777777" w:rsidR="00FD06CB" w:rsidRDefault="00492363">
            <w:r>
              <w:rPr>
                <w:color w:val="1F1F1F"/>
              </w:rPr>
              <w:t>Provide concise updates on attendance, engagement, risks, outcomes and actions.</w:t>
            </w:r>
          </w:p>
        </w:tc>
      </w:tr>
      <w:tr w:rsidR="00FD06CB" w14:paraId="3B63439B" w14:textId="77777777" w:rsidTr="00FC401E">
        <w:trPr>
          <w:trHeight w:val="1263"/>
          <w:jc w:val="center"/>
        </w:trPr>
        <w:tc>
          <w:tcPr>
            <w:tcW w:w="3442" w:type="dxa"/>
            <w:tcBorders>
              <w:top w:val="single" w:sz="4" w:space="0" w:color="FFFFFF"/>
              <w:left w:val="single" w:sz="4" w:space="0" w:color="FFFFFF"/>
              <w:bottom w:val="single" w:sz="4" w:space="0" w:color="FFFFFF"/>
              <w:right w:val="single" w:sz="4" w:space="0" w:color="FFFFFF"/>
            </w:tcBorders>
            <w:shd w:val="clear" w:color="auto" w:fill="2F3437"/>
            <w:vAlign w:val="center"/>
          </w:tcPr>
          <w:p w14:paraId="5B7F18C4" w14:textId="77777777" w:rsidR="00FD06CB" w:rsidRDefault="00492363">
            <w:pPr>
              <w:jc w:val="center"/>
            </w:pPr>
            <w:r>
              <w:rPr>
                <w:b/>
                <w:color w:val="FFFFFF"/>
                <w:sz w:val="24"/>
              </w:rPr>
              <w:t>06</w:t>
            </w:r>
          </w:p>
        </w:tc>
        <w:tc>
          <w:tcPr>
            <w:tcW w:w="3442" w:type="dxa"/>
            <w:tcBorders>
              <w:top w:val="single" w:sz="4" w:space="0" w:color="FFFFFF"/>
              <w:left w:val="single" w:sz="4" w:space="0" w:color="FFFFFF"/>
              <w:bottom w:val="single" w:sz="4" w:space="0" w:color="FFFFFF"/>
              <w:right w:val="single" w:sz="4" w:space="0" w:color="FFFFFF"/>
            </w:tcBorders>
            <w:shd w:val="clear" w:color="auto" w:fill="C4BC96" w:themeFill="background2" w:themeFillShade="BF"/>
            <w:vAlign w:val="center"/>
          </w:tcPr>
          <w:p w14:paraId="35E5F517" w14:textId="77777777" w:rsidR="00FD06CB" w:rsidRDefault="00492363">
            <w:r>
              <w:rPr>
                <w:b/>
                <w:color w:val="FFFFFF"/>
                <w:sz w:val="22"/>
              </w:rPr>
              <w:t>Retain</w:t>
            </w:r>
          </w:p>
        </w:tc>
        <w:tc>
          <w:tcPr>
            <w:tcW w:w="3442" w:type="dxa"/>
            <w:tcBorders>
              <w:top w:val="single" w:sz="4" w:space="0" w:color="FFFFFF"/>
              <w:left w:val="single" w:sz="4" w:space="0" w:color="FFFFFF"/>
              <w:bottom w:val="single" w:sz="4" w:space="0" w:color="FFFFFF"/>
              <w:right w:val="single" w:sz="4" w:space="0" w:color="FFFFFF"/>
            </w:tcBorders>
            <w:shd w:val="clear" w:color="auto" w:fill="FFFFFF"/>
            <w:vAlign w:val="center"/>
          </w:tcPr>
          <w:p w14:paraId="51F83DAF" w14:textId="77777777" w:rsidR="00FD06CB" w:rsidRDefault="00492363">
            <w:r>
              <w:rPr>
                <w:color w:val="1F1F1F"/>
              </w:rPr>
              <w:t>Support long-term workforce stability, training pathways and leadership development.</w:t>
            </w:r>
          </w:p>
        </w:tc>
      </w:tr>
    </w:tbl>
    <w:p w14:paraId="6A2573C3" w14:textId="77777777" w:rsidR="00FD06CB" w:rsidRDefault="00492363">
      <w:r>
        <w:br w:type="page"/>
      </w:r>
    </w:p>
    <w:p w14:paraId="39D6F39B" w14:textId="77777777" w:rsidR="00FD06CB" w:rsidRDefault="00492363">
      <w:pPr>
        <w:spacing w:after="80"/>
      </w:pPr>
      <w:r>
        <w:rPr>
          <w:b/>
          <w:color w:val="C46A28"/>
          <w:sz w:val="16"/>
        </w:rPr>
        <w:lastRenderedPageBreak/>
        <w:t>A STRONGER MODEL</w:t>
      </w:r>
    </w:p>
    <w:p w14:paraId="064C4D24" w14:textId="77777777" w:rsidR="00FD06CB" w:rsidRPr="008E3BC2" w:rsidRDefault="00492363">
      <w:pPr>
        <w:spacing w:after="160"/>
      </w:pPr>
      <w:r w:rsidRPr="008E3BC2">
        <w:rPr>
          <w:b/>
          <w:sz w:val="48"/>
        </w:rPr>
        <w:t>Traditional labour hire compared with AIM</w:t>
      </w:r>
    </w:p>
    <w:tbl>
      <w:tblPr>
        <w:tblW w:w="0" w:type="auto"/>
        <w:jc w:val="center"/>
        <w:tblLayout w:type="fixed"/>
        <w:tblLook w:val="04A0" w:firstRow="1" w:lastRow="0" w:firstColumn="1" w:lastColumn="0" w:noHBand="0" w:noVBand="1"/>
      </w:tblPr>
      <w:tblGrid>
        <w:gridCol w:w="5162"/>
        <w:gridCol w:w="5162"/>
      </w:tblGrid>
      <w:tr w:rsidR="00FD06CB" w14:paraId="1C741D6D" w14:textId="77777777" w:rsidTr="00F0300E">
        <w:trPr>
          <w:trHeight w:val="668"/>
          <w:jc w:val="center"/>
        </w:trPr>
        <w:tc>
          <w:tcPr>
            <w:tcW w:w="5162" w:type="dxa"/>
            <w:tcBorders>
              <w:top w:val="single" w:sz="4" w:space="0" w:color="FFFFFF"/>
              <w:left w:val="single" w:sz="4" w:space="0" w:color="FFFFFF"/>
              <w:bottom w:val="single" w:sz="4" w:space="0" w:color="FFFFFF"/>
              <w:right w:val="single" w:sz="4" w:space="0" w:color="FFFFFF"/>
            </w:tcBorders>
            <w:shd w:val="clear" w:color="auto" w:fill="000000" w:themeFill="text1"/>
          </w:tcPr>
          <w:p w14:paraId="38380AA9" w14:textId="77777777" w:rsidR="00FD06CB" w:rsidRPr="008E3BC2" w:rsidRDefault="00492363">
            <w:pPr>
              <w:rPr>
                <w:color w:val="2F3437"/>
              </w:rPr>
            </w:pPr>
            <w:r>
              <w:rPr>
                <w:b/>
                <w:color w:val="FFFFFF"/>
                <w:sz w:val="24"/>
              </w:rPr>
              <w:t xml:space="preserve">Traditional </w:t>
            </w:r>
            <w:proofErr w:type="spellStart"/>
            <w:r>
              <w:rPr>
                <w:b/>
                <w:color w:val="FFFFFF"/>
                <w:sz w:val="24"/>
              </w:rPr>
              <w:t>labour</w:t>
            </w:r>
            <w:proofErr w:type="spellEnd"/>
            <w:r>
              <w:rPr>
                <w:b/>
                <w:color w:val="FFFFFF"/>
                <w:sz w:val="24"/>
              </w:rPr>
              <w:t xml:space="preserve"> hire</w:t>
            </w:r>
          </w:p>
        </w:tc>
        <w:tc>
          <w:tcPr>
            <w:tcW w:w="5162" w:type="dxa"/>
            <w:tcBorders>
              <w:top w:val="single" w:sz="4" w:space="0" w:color="FFFFFF"/>
              <w:left w:val="single" w:sz="4" w:space="0" w:color="FFFFFF"/>
              <w:bottom w:val="single" w:sz="4" w:space="0" w:color="FFFFFF"/>
              <w:right w:val="single" w:sz="4" w:space="0" w:color="FFFFFF"/>
            </w:tcBorders>
            <w:shd w:val="clear" w:color="auto" w:fill="C46A28"/>
          </w:tcPr>
          <w:p w14:paraId="58FDD228" w14:textId="77777777" w:rsidR="00FD06CB" w:rsidRDefault="00492363">
            <w:r>
              <w:rPr>
                <w:b/>
                <w:color w:val="FFFFFF"/>
                <w:sz w:val="24"/>
              </w:rPr>
              <w:t>AIM workforce partnership</w:t>
            </w:r>
          </w:p>
        </w:tc>
      </w:tr>
      <w:tr w:rsidR="00FD06CB" w14:paraId="0DEC7214" w14:textId="77777777" w:rsidTr="00F0300E">
        <w:trPr>
          <w:trHeight w:val="630"/>
          <w:jc w:val="center"/>
        </w:trPr>
        <w:tc>
          <w:tcPr>
            <w:tcW w:w="5162" w:type="dxa"/>
            <w:tcBorders>
              <w:top w:val="single" w:sz="6" w:space="0" w:color="D9D2C8"/>
              <w:left w:val="single" w:sz="6" w:space="0" w:color="D9D2C8"/>
              <w:bottom w:val="single" w:sz="6" w:space="0" w:color="D9D2C8"/>
              <w:right w:val="single" w:sz="6" w:space="0" w:color="D9D2C8"/>
            </w:tcBorders>
            <w:shd w:val="clear" w:color="auto" w:fill="F5F2ED"/>
          </w:tcPr>
          <w:p w14:paraId="2D99B0B8" w14:textId="77777777" w:rsidR="00FD06CB" w:rsidRDefault="00492363">
            <w:r>
              <w:rPr>
                <w:color w:val="1F1F1F"/>
                <w:sz w:val="21"/>
              </w:rPr>
              <w:t>Supplies workers</w:t>
            </w:r>
          </w:p>
        </w:tc>
        <w:tc>
          <w:tcPr>
            <w:tcW w:w="5162" w:type="dxa"/>
            <w:tcBorders>
              <w:top w:val="single" w:sz="6" w:space="0" w:color="D9D2C8"/>
              <w:left w:val="single" w:sz="6" w:space="0" w:color="D9D2C8"/>
              <w:bottom w:val="single" w:sz="6" w:space="0" w:color="D9D2C8"/>
              <w:right w:val="single" w:sz="6" w:space="0" w:color="D9D2C8"/>
            </w:tcBorders>
            <w:shd w:val="clear" w:color="auto" w:fill="FFFFFF"/>
          </w:tcPr>
          <w:p w14:paraId="7C1D5FAD" w14:textId="77777777" w:rsidR="00FD06CB" w:rsidRDefault="00492363">
            <w:r>
              <w:rPr>
                <w:b/>
                <w:color w:val="0E2A47"/>
                <w:sz w:val="21"/>
              </w:rPr>
              <w:t>Builds workforces</w:t>
            </w:r>
          </w:p>
        </w:tc>
      </w:tr>
      <w:tr w:rsidR="00FD06CB" w14:paraId="7FA5DD1B" w14:textId="77777777" w:rsidTr="00F0300E">
        <w:trPr>
          <w:trHeight w:val="630"/>
          <w:jc w:val="center"/>
        </w:trPr>
        <w:tc>
          <w:tcPr>
            <w:tcW w:w="5162" w:type="dxa"/>
            <w:tcBorders>
              <w:top w:val="single" w:sz="6" w:space="0" w:color="D9D2C8"/>
              <w:left w:val="single" w:sz="6" w:space="0" w:color="D9D2C8"/>
              <w:bottom w:val="single" w:sz="6" w:space="0" w:color="D9D2C8"/>
              <w:right w:val="single" w:sz="6" w:space="0" w:color="D9D2C8"/>
            </w:tcBorders>
            <w:shd w:val="clear" w:color="auto" w:fill="F5F2ED"/>
          </w:tcPr>
          <w:p w14:paraId="42E1110D" w14:textId="77777777" w:rsidR="00FD06CB" w:rsidRDefault="00492363">
            <w:r>
              <w:rPr>
                <w:color w:val="1F1F1F"/>
                <w:sz w:val="21"/>
              </w:rPr>
              <w:t>Recruitment only</w:t>
            </w:r>
          </w:p>
        </w:tc>
        <w:tc>
          <w:tcPr>
            <w:tcW w:w="5162" w:type="dxa"/>
            <w:tcBorders>
              <w:top w:val="single" w:sz="6" w:space="0" w:color="D9D2C8"/>
              <w:left w:val="single" w:sz="6" w:space="0" w:color="D9D2C8"/>
              <w:bottom w:val="single" w:sz="6" w:space="0" w:color="D9D2C8"/>
              <w:right w:val="single" w:sz="6" w:space="0" w:color="D9D2C8"/>
            </w:tcBorders>
            <w:shd w:val="clear" w:color="auto" w:fill="FFFFFF"/>
          </w:tcPr>
          <w:p w14:paraId="4F580ADF" w14:textId="77777777" w:rsidR="00FD06CB" w:rsidRDefault="00492363">
            <w:r>
              <w:rPr>
                <w:b/>
                <w:color w:val="0E2A47"/>
                <w:sz w:val="21"/>
              </w:rPr>
              <w:t>Recruitment plus mentoring</w:t>
            </w:r>
          </w:p>
        </w:tc>
      </w:tr>
      <w:tr w:rsidR="00FD06CB" w14:paraId="41B25380" w14:textId="77777777" w:rsidTr="00F0300E">
        <w:trPr>
          <w:trHeight w:val="630"/>
          <w:jc w:val="center"/>
        </w:trPr>
        <w:tc>
          <w:tcPr>
            <w:tcW w:w="5162" w:type="dxa"/>
            <w:tcBorders>
              <w:top w:val="single" w:sz="6" w:space="0" w:color="D9D2C8"/>
              <w:left w:val="single" w:sz="6" w:space="0" w:color="D9D2C8"/>
              <w:bottom w:val="single" w:sz="6" w:space="0" w:color="D9D2C8"/>
              <w:right w:val="single" w:sz="6" w:space="0" w:color="D9D2C8"/>
            </w:tcBorders>
            <w:shd w:val="clear" w:color="auto" w:fill="F5F2ED"/>
          </w:tcPr>
          <w:p w14:paraId="19205BAF" w14:textId="77777777" w:rsidR="00FD06CB" w:rsidRDefault="00492363">
            <w:r>
              <w:rPr>
                <w:color w:val="1F1F1F"/>
                <w:sz w:val="21"/>
              </w:rPr>
              <w:t>Limited follow-up</w:t>
            </w:r>
          </w:p>
        </w:tc>
        <w:tc>
          <w:tcPr>
            <w:tcW w:w="5162" w:type="dxa"/>
            <w:tcBorders>
              <w:top w:val="single" w:sz="6" w:space="0" w:color="D9D2C8"/>
              <w:left w:val="single" w:sz="6" w:space="0" w:color="D9D2C8"/>
              <w:bottom w:val="single" w:sz="6" w:space="0" w:color="D9D2C8"/>
              <w:right w:val="single" w:sz="6" w:space="0" w:color="D9D2C8"/>
            </w:tcBorders>
            <w:shd w:val="clear" w:color="auto" w:fill="FFFFFF"/>
          </w:tcPr>
          <w:p w14:paraId="0969FA41" w14:textId="77777777" w:rsidR="00FD06CB" w:rsidRDefault="00492363">
            <w:r>
              <w:rPr>
                <w:b/>
                <w:color w:val="0E2A47"/>
                <w:sz w:val="21"/>
              </w:rPr>
              <w:t>Regular worker and employer engagement</w:t>
            </w:r>
          </w:p>
        </w:tc>
      </w:tr>
      <w:tr w:rsidR="00FD06CB" w14:paraId="15501F75" w14:textId="77777777" w:rsidTr="00F0300E">
        <w:trPr>
          <w:trHeight w:val="630"/>
          <w:jc w:val="center"/>
        </w:trPr>
        <w:tc>
          <w:tcPr>
            <w:tcW w:w="5162" w:type="dxa"/>
            <w:tcBorders>
              <w:top w:val="single" w:sz="6" w:space="0" w:color="D9D2C8"/>
              <w:left w:val="single" w:sz="6" w:space="0" w:color="D9D2C8"/>
              <w:bottom w:val="single" w:sz="6" w:space="0" w:color="D9D2C8"/>
              <w:right w:val="single" w:sz="6" w:space="0" w:color="D9D2C8"/>
            </w:tcBorders>
            <w:shd w:val="clear" w:color="auto" w:fill="F5F2ED"/>
          </w:tcPr>
          <w:p w14:paraId="713A1EB4" w14:textId="77777777" w:rsidR="00FD06CB" w:rsidRDefault="00492363">
            <w:r>
              <w:rPr>
                <w:color w:val="1F1F1F"/>
                <w:sz w:val="21"/>
              </w:rPr>
              <w:t>Reactive issue handling</w:t>
            </w:r>
          </w:p>
        </w:tc>
        <w:tc>
          <w:tcPr>
            <w:tcW w:w="5162" w:type="dxa"/>
            <w:tcBorders>
              <w:top w:val="single" w:sz="6" w:space="0" w:color="D9D2C8"/>
              <w:left w:val="single" w:sz="6" w:space="0" w:color="D9D2C8"/>
              <w:bottom w:val="single" w:sz="6" w:space="0" w:color="D9D2C8"/>
              <w:right w:val="single" w:sz="6" w:space="0" w:color="D9D2C8"/>
            </w:tcBorders>
            <w:shd w:val="clear" w:color="auto" w:fill="FFFFFF"/>
          </w:tcPr>
          <w:p w14:paraId="5DB8CAFC" w14:textId="77777777" w:rsidR="00FD06CB" w:rsidRDefault="00492363">
            <w:r>
              <w:rPr>
                <w:b/>
                <w:color w:val="0E2A47"/>
                <w:sz w:val="21"/>
              </w:rPr>
              <w:t>Early risk identification and escalation</w:t>
            </w:r>
          </w:p>
        </w:tc>
      </w:tr>
      <w:tr w:rsidR="00FD06CB" w14:paraId="6671A751" w14:textId="77777777" w:rsidTr="00F0300E">
        <w:trPr>
          <w:trHeight w:val="1012"/>
          <w:jc w:val="center"/>
        </w:trPr>
        <w:tc>
          <w:tcPr>
            <w:tcW w:w="5162" w:type="dxa"/>
            <w:tcBorders>
              <w:top w:val="single" w:sz="6" w:space="0" w:color="D9D2C8"/>
              <w:left w:val="single" w:sz="6" w:space="0" w:color="D9D2C8"/>
              <w:bottom w:val="single" w:sz="6" w:space="0" w:color="D9D2C8"/>
              <w:right w:val="single" w:sz="6" w:space="0" w:color="D9D2C8"/>
            </w:tcBorders>
            <w:shd w:val="clear" w:color="auto" w:fill="F5F2ED"/>
          </w:tcPr>
          <w:p w14:paraId="3DD39349" w14:textId="77777777" w:rsidR="00FD06CB" w:rsidRDefault="00492363">
            <w:r>
              <w:rPr>
                <w:color w:val="1F1F1F"/>
                <w:sz w:val="21"/>
              </w:rPr>
              <w:t>Basic placement reporting</w:t>
            </w:r>
          </w:p>
        </w:tc>
        <w:tc>
          <w:tcPr>
            <w:tcW w:w="5162" w:type="dxa"/>
            <w:tcBorders>
              <w:top w:val="single" w:sz="6" w:space="0" w:color="D9D2C8"/>
              <w:left w:val="single" w:sz="6" w:space="0" w:color="D9D2C8"/>
              <w:bottom w:val="single" w:sz="6" w:space="0" w:color="D9D2C8"/>
              <w:right w:val="single" w:sz="6" w:space="0" w:color="D9D2C8"/>
            </w:tcBorders>
            <w:shd w:val="clear" w:color="auto" w:fill="FFFFFF"/>
          </w:tcPr>
          <w:p w14:paraId="78C631CE" w14:textId="77777777" w:rsidR="00FD06CB" w:rsidRDefault="00492363">
            <w:r>
              <w:rPr>
                <w:b/>
                <w:color w:val="0E2A47"/>
                <w:sz w:val="21"/>
              </w:rPr>
              <w:t>Evidence-based workforce and procurement reporting</w:t>
            </w:r>
          </w:p>
        </w:tc>
      </w:tr>
      <w:tr w:rsidR="00FD06CB" w14:paraId="1943AB06" w14:textId="77777777" w:rsidTr="00F0300E">
        <w:trPr>
          <w:trHeight w:val="630"/>
          <w:jc w:val="center"/>
        </w:trPr>
        <w:tc>
          <w:tcPr>
            <w:tcW w:w="5162" w:type="dxa"/>
            <w:tcBorders>
              <w:top w:val="single" w:sz="6" w:space="0" w:color="D9D2C8"/>
              <w:left w:val="single" w:sz="6" w:space="0" w:color="D9D2C8"/>
              <w:bottom w:val="single" w:sz="6" w:space="0" w:color="D9D2C8"/>
              <w:right w:val="single" w:sz="6" w:space="0" w:color="D9D2C8"/>
            </w:tcBorders>
            <w:shd w:val="clear" w:color="auto" w:fill="F5F2ED"/>
          </w:tcPr>
          <w:p w14:paraId="312CB574" w14:textId="77777777" w:rsidR="00FD06CB" w:rsidRDefault="00492363">
            <w:r>
              <w:rPr>
                <w:color w:val="1F1F1F"/>
                <w:sz w:val="21"/>
              </w:rPr>
              <w:t>Short-term fill</w:t>
            </w:r>
          </w:p>
        </w:tc>
        <w:tc>
          <w:tcPr>
            <w:tcW w:w="5162" w:type="dxa"/>
            <w:tcBorders>
              <w:top w:val="single" w:sz="6" w:space="0" w:color="D9D2C8"/>
              <w:left w:val="single" w:sz="6" w:space="0" w:color="D9D2C8"/>
              <w:bottom w:val="single" w:sz="6" w:space="0" w:color="D9D2C8"/>
              <w:right w:val="single" w:sz="6" w:space="0" w:color="D9D2C8"/>
            </w:tcBorders>
            <w:shd w:val="clear" w:color="auto" w:fill="FFFFFF"/>
          </w:tcPr>
          <w:p w14:paraId="1B39F39E" w14:textId="77777777" w:rsidR="00FD06CB" w:rsidRDefault="00492363">
            <w:r>
              <w:rPr>
                <w:b/>
                <w:color w:val="0E2A47"/>
                <w:sz w:val="21"/>
              </w:rPr>
              <w:t>Long-term retention and development</w:t>
            </w:r>
          </w:p>
        </w:tc>
      </w:tr>
    </w:tbl>
    <w:p w14:paraId="5404C89D" w14:textId="77777777" w:rsidR="00FD06CB" w:rsidRDefault="00492363">
      <w:pPr>
        <w:spacing w:before="400"/>
        <w:jc w:val="center"/>
      </w:pPr>
      <w:r>
        <w:rPr>
          <w:b/>
          <w:color w:val="C46A28"/>
          <w:sz w:val="28"/>
        </w:rPr>
        <w:t>AIM is designed for clients who need workforce outcomes they can see, measure and report.</w:t>
      </w:r>
    </w:p>
    <w:p w14:paraId="56911B28" w14:textId="77777777" w:rsidR="00FD06CB" w:rsidRDefault="00492363">
      <w:r>
        <w:br w:type="page"/>
      </w:r>
    </w:p>
    <w:p w14:paraId="17CBAB7E" w14:textId="77777777" w:rsidR="00FD06CB" w:rsidRDefault="00492363">
      <w:pPr>
        <w:spacing w:after="80"/>
      </w:pPr>
      <w:r>
        <w:rPr>
          <w:b/>
          <w:color w:val="C46A28"/>
          <w:sz w:val="16"/>
        </w:rPr>
        <w:lastRenderedPageBreak/>
        <w:t>INDUSTRY CAPABILITY</w:t>
      </w:r>
    </w:p>
    <w:p w14:paraId="7B7ED211" w14:textId="77777777" w:rsidR="00FD06CB" w:rsidRPr="008E3BC2" w:rsidRDefault="00492363">
      <w:pPr>
        <w:spacing w:after="160"/>
      </w:pPr>
      <w:r w:rsidRPr="008E3BC2">
        <w:rPr>
          <w:b/>
          <w:sz w:val="48"/>
        </w:rPr>
        <w:t>Where AIM can support</w:t>
      </w:r>
    </w:p>
    <w:tbl>
      <w:tblPr>
        <w:tblW w:w="0" w:type="auto"/>
        <w:jc w:val="center"/>
        <w:tblLayout w:type="fixed"/>
        <w:tblLook w:val="04A0" w:firstRow="1" w:lastRow="0" w:firstColumn="1" w:lastColumn="0" w:noHBand="0" w:noVBand="1"/>
      </w:tblPr>
      <w:tblGrid>
        <w:gridCol w:w="3431"/>
        <w:gridCol w:w="3431"/>
        <w:gridCol w:w="3431"/>
      </w:tblGrid>
      <w:tr w:rsidR="00FD06CB" w14:paraId="635A0BCE" w14:textId="77777777" w:rsidTr="00F0300E">
        <w:trPr>
          <w:trHeight w:val="776"/>
          <w:jc w:val="center"/>
        </w:trPr>
        <w:tc>
          <w:tcPr>
            <w:tcW w:w="3431" w:type="dxa"/>
            <w:tcBorders>
              <w:top w:val="single" w:sz="4" w:space="0" w:color="FFFFFF"/>
              <w:left w:val="single" w:sz="4" w:space="0" w:color="FFFFFF"/>
              <w:bottom w:val="single" w:sz="4" w:space="0" w:color="FFFFFF"/>
              <w:right w:val="single" w:sz="4" w:space="0" w:color="FFFFFF"/>
            </w:tcBorders>
            <w:shd w:val="clear" w:color="auto" w:fill="8C9A82"/>
          </w:tcPr>
          <w:p w14:paraId="4B4DD973" w14:textId="77777777" w:rsidR="00FD06CB" w:rsidRDefault="00492363">
            <w:pPr>
              <w:jc w:val="center"/>
            </w:pPr>
            <w:r>
              <w:rPr>
                <w:b/>
                <w:color w:val="FFFFFF"/>
                <w:sz w:val="22"/>
              </w:rPr>
              <w:t>Civil construction</w:t>
            </w:r>
          </w:p>
        </w:tc>
        <w:tc>
          <w:tcPr>
            <w:tcW w:w="3431" w:type="dxa"/>
            <w:tcBorders>
              <w:top w:val="single" w:sz="4" w:space="0" w:color="FFFFFF"/>
              <w:left w:val="single" w:sz="4" w:space="0" w:color="FFFFFF"/>
              <w:bottom w:val="single" w:sz="4" w:space="0" w:color="FFFFFF"/>
              <w:right w:val="single" w:sz="4" w:space="0" w:color="FFFFFF"/>
            </w:tcBorders>
            <w:shd w:val="clear" w:color="auto" w:fill="2F3437"/>
          </w:tcPr>
          <w:p w14:paraId="049BF39D" w14:textId="77777777" w:rsidR="00FD06CB" w:rsidRDefault="00492363">
            <w:pPr>
              <w:jc w:val="center"/>
            </w:pPr>
            <w:r>
              <w:rPr>
                <w:b/>
                <w:color w:val="FFFFFF"/>
                <w:sz w:val="22"/>
              </w:rPr>
              <w:t>Major infrastructure</w:t>
            </w:r>
          </w:p>
        </w:tc>
        <w:tc>
          <w:tcPr>
            <w:tcW w:w="3431" w:type="dxa"/>
            <w:tcBorders>
              <w:top w:val="single" w:sz="4" w:space="0" w:color="FFFFFF"/>
              <w:left w:val="single" w:sz="4" w:space="0" w:color="FFFFFF"/>
              <w:bottom w:val="single" w:sz="4" w:space="0" w:color="FFFFFF"/>
              <w:right w:val="single" w:sz="4" w:space="0" w:color="FFFFFF"/>
            </w:tcBorders>
            <w:shd w:val="clear" w:color="auto" w:fill="B68A3F"/>
          </w:tcPr>
          <w:p w14:paraId="6DDD718C" w14:textId="77777777" w:rsidR="00FD06CB" w:rsidRDefault="00492363">
            <w:pPr>
              <w:jc w:val="center"/>
            </w:pPr>
            <w:r>
              <w:rPr>
                <w:b/>
                <w:color w:val="FFFFFF"/>
                <w:sz w:val="22"/>
              </w:rPr>
              <w:t>Defence &amp; shipbuilding</w:t>
            </w:r>
          </w:p>
        </w:tc>
      </w:tr>
      <w:tr w:rsidR="00FD06CB" w14:paraId="4EC9B46A" w14:textId="77777777" w:rsidTr="00F0300E">
        <w:trPr>
          <w:trHeight w:val="753"/>
          <w:jc w:val="center"/>
        </w:trPr>
        <w:tc>
          <w:tcPr>
            <w:tcW w:w="3431" w:type="dxa"/>
            <w:tcBorders>
              <w:top w:val="single" w:sz="4" w:space="0" w:color="FFFFFF"/>
              <w:left w:val="single" w:sz="4" w:space="0" w:color="FFFFFF"/>
              <w:bottom w:val="single" w:sz="4" w:space="0" w:color="FFFFFF"/>
              <w:right w:val="single" w:sz="4" w:space="0" w:color="FFFFFF"/>
            </w:tcBorders>
            <w:shd w:val="clear" w:color="auto" w:fill="8C9A82"/>
          </w:tcPr>
          <w:p w14:paraId="1083D919" w14:textId="77777777" w:rsidR="00FD06CB" w:rsidRDefault="00492363">
            <w:pPr>
              <w:jc w:val="center"/>
            </w:pPr>
            <w:r>
              <w:rPr>
                <w:b/>
                <w:color w:val="FFFFFF"/>
                <w:sz w:val="22"/>
              </w:rPr>
              <w:t>Mining &amp; resources</w:t>
            </w:r>
          </w:p>
        </w:tc>
        <w:tc>
          <w:tcPr>
            <w:tcW w:w="3431" w:type="dxa"/>
            <w:tcBorders>
              <w:top w:val="single" w:sz="4" w:space="0" w:color="FFFFFF"/>
              <w:left w:val="single" w:sz="4" w:space="0" w:color="FFFFFF"/>
              <w:bottom w:val="single" w:sz="4" w:space="0" w:color="FFFFFF"/>
              <w:right w:val="single" w:sz="4" w:space="0" w:color="FFFFFF"/>
            </w:tcBorders>
            <w:shd w:val="clear" w:color="auto" w:fill="2F3437"/>
          </w:tcPr>
          <w:p w14:paraId="2D2C3FD7" w14:textId="77777777" w:rsidR="00FD06CB" w:rsidRDefault="00492363">
            <w:pPr>
              <w:jc w:val="center"/>
            </w:pPr>
            <w:r>
              <w:rPr>
                <w:b/>
                <w:color w:val="FFFFFF"/>
                <w:sz w:val="22"/>
              </w:rPr>
              <w:t>Manufacturing</w:t>
            </w:r>
          </w:p>
        </w:tc>
        <w:tc>
          <w:tcPr>
            <w:tcW w:w="3431" w:type="dxa"/>
            <w:tcBorders>
              <w:top w:val="single" w:sz="4" w:space="0" w:color="FFFFFF"/>
              <w:left w:val="single" w:sz="4" w:space="0" w:color="FFFFFF"/>
              <w:bottom w:val="single" w:sz="4" w:space="0" w:color="FFFFFF"/>
              <w:right w:val="single" w:sz="4" w:space="0" w:color="FFFFFF"/>
            </w:tcBorders>
            <w:shd w:val="clear" w:color="auto" w:fill="B68A3F"/>
          </w:tcPr>
          <w:p w14:paraId="1599F7F2" w14:textId="77777777" w:rsidR="00FD06CB" w:rsidRDefault="00492363">
            <w:pPr>
              <w:jc w:val="center"/>
            </w:pPr>
            <w:r>
              <w:rPr>
                <w:b/>
                <w:color w:val="FFFFFF"/>
                <w:sz w:val="22"/>
              </w:rPr>
              <w:t>Utilities &amp; energy</w:t>
            </w:r>
          </w:p>
        </w:tc>
      </w:tr>
      <w:tr w:rsidR="00FD06CB" w14:paraId="2B3BE54E" w14:textId="77777777" w:rsidTr="00F0300E">
        <w:trPr>
          <w:trHeight w:val="776"/>
          <w:jc w:val="center"/>
        </w:trPr>
        <w:tc>
          <w:tcPr>
            <w:tcW w:w="3431" w:type="dxa"/>
            <w:tcBorders>
              <w:top w:val="single" w:sz="4" w:space="0" w:color="FFFFFF"/>
              <w:left w:val="single" w:sz="4" w:space="0" w:color="FFFFFF"/>
              <w:bottom w:val="single" w:sz="4" w:space="0" w:color="FFFFFF"/>
              <w:right w:val="single" w:sz="4" w:space="0" w:color="FFFFFF"/>
            </w:tcBorders>
            <w:shd w:val="clear" w:color="auto" w:fill="8C9A82"/>
          </w:tcPr>
          <w:p w14:paraId="2B1B1483" w14:textId="77777777" w:rsidR="00FD06CB" w:rsidRDefault="00492363">
            <w:pPr>
              <w:jc w:val="center"/>
            </w:pPr>
            <w:r>
              <w:rPr>
                <w:b/>
                <w:color w:val="FFFFFF"/>
                <w:sz w:val="22"/>
              </w:rPr>
              <w:t>Facilities management</w:t>
            </w:r>
          </w:p>
        </w:tc>
        <w:tc>
          <w:tcPr>
            <w:tcW w:w="3431" w:type="dxa"/>
            <w:tcBorders>
              <w:top w:val="single" w:sz="4" w:space="0" w:color="FFFFFF"/>
              <w:left w:val="single" w:sz="4" w:space="0" w:color="FFFFFF"/>
              <w:bottom w:val="single" w:sz="4" w:space="0" w:color="FFFFFF"/>
              <w:right w:val="single" w:sz="4" w:space="0" w:color="FFFFFF"/>
            </w:tcBorders>
            <w:shd w:val="clear" w:color="auto" w:fill="2F3437"/>
          </w:tcPr>
          <w:p w14:paraId="48EE9C70" w14:textId="77777777" w:rsidR="00FD06CB" w:rsidRDefault="00492363">
            <w:pPr>
              <w:jc w:val="center"/>
            </w:pPr>
            <w:r>
              <w:rPr>
                <w:b/>
                <w:color w:val="FFFFFF"/>
                <w:sz w:val="22"/>
              </w:rPr>
              <w:t>Transport &amp; logistics</w:t>
            </w:r>
          </w:p>
        </w:tc>
        <w:tc>
          <w:tcPr>
            <w:tcW w:w="3431" w:type="dxa"/>
            <w:tcBorders>
              <w:top w:val="single" w:sz="4" w:space="0" w:color="FFFFFF"/>
              <w:left w:val="single" w:sz="4" w:space="0" w:color="FFFFFF"/>
              <w:bottom w:val="single" w:sz="4" w:space="0" w:color="FFFFFF"/>
              <w:right w:val="single" w:sz="4" w:space="0" w:color="FFFFFF"/>
            </w:tcBorders>
            <w:shd w:val="clear" w:color="auto" w:fill="B68A3F"/>
          </w:tcPr>
          <w:p w14:paraId="04F44D08" w14:textId="77777777" w:rsidR="00FD06CB" w:rsidRDefault="00492363">
            <w:pPr>
              <w:jc w:val="center"/>
            </w:pPr>
            <w:r>
              <w:rPr>
                <w:b/>
                <w:color w:val="FFFFFF"/>
                <w:sz w:val="22"/>
              </w:rPr>
              <w:t>Government projects</w:t>
            </w:r>
          </w:p>
        </w:tc>
      </w:tr>
      <w:tr w:rsidR="00FD06CB" w14:paraId="5BF891DB" w14:textId="77777777" w:rsidTr="00F0300E">
        <w:trPr>
          <w:trHeight w:val="1232"/>
          <w:jc w:val="center"/>
        </w:trPr>
        <w:tc>
          <w:tcPr>
            <w:tcW w:w="3431" w:type="dxa"/>
            <w:tcBorders>
              <w:top w:val="single" w:sz="4" w:space="0" w:color="FFFFFF"/>
              <w:left w:val="single" w:sz="4" w:space="0" w:color="FFFFFF"/>
              <w:bottom w:val="single" w:sz="4" w:space="0" w:color="FFFFFF"/>
              <w:right w:val="single" w:sz="4" w:space="0" w:color="FFFFFF"/>
            </w:tcBorders>
            <w:shd w:val="clear" w:color="auto" w:fill="8C9A82"/>
          </w:tcPr>
          <w:p w14:paraId="33D89A0F" w14:textId="77777777" w:rsidR="00FD06CB" w:rsidRDefault="00492363">
            <w:pPr>
              <w:jc w:val="center"/>
            </w:pPr>
            <w:r>
              <w:rPr>
                <w:b/>
                <w:color w:val="FFFFFF"/>
                <w:sz w:val="22"/>
              </w:rPr>
              <w:t>Asset maintenance</w:t>
            </w:r>
          </w:p>
        </w:tc>
        <w:tc>
          <w:tcPr>
            <w:tcW w:w="3431" w:type="dxa"/>
            <w:tcBorders>
              <w:top w:val="single" w:sz="4" w:space="0" w:color="FFFFFF"/>
              <w:left w:val="single" w:sz="4" w:space="0" w:color="FFFFFF"/>
              <w:bottom w:val="single" w:sz="4" w:space="0" w:color="FFFFFF"/>
              <w:right w:val="single" w:sz="4" w:space="0" w:color="FFFFFF"/>
            </w:tcBorders>
            <w:shd w:val="clear" w:color="auto" w:fill="2F3437"/>
          </w:tcPr>
          <w:p w14:paraId="179AF82F" w14:textId="77777777" w:rsidR="00FD06CB" w:rsidRDefault="00492363">
            <w:pPr>
              <w:jc w:val="center"/>
            </w:pPr>
            <w:r>
              <w:rPr>
                <w:b/>
                <w:color w:val="FFFFFF"/>
                <w:sz w:val="22"/>
              </w:rPr>
              <w:t>HVAC &amp; trades</w:t>
            </w:r>
          </w:p>
        </w:tc>
        <w:tc>
          <w:tcPr>
            <w:tcW w:w="3431" w:type="dxa"/>
            <w:tcBorders>
              <w:top w:val="single" w:sz="4" w:space="0" w:color="FFFFFF"/>
              <w:left w:val="single" w:sz="4" w:space="0" w:color="FFFFFF"/>
              <w:bottom w:val="single" w:sz="4" w:space="0" w:color="FFFFFF"/>
              <w:right w:val="single" w:sz="4" w:space="0" w:color="FFFFFF"/>
            </w:tcBorders>
            <w:shd w:val="clear" w:color="auto" w:fill="B68A3F"/>
          </w:tcPr>
          <w:p w14:paraId="2F2FE889" w14:textId="77777777" w:rsidR="00FD06CB" w:rsidRDefault="00492363">
            <w:pPr>
              <w:jc w:val="center"/>
            </w:pPr>
            <w:r>
              <w:rPr>
                <w:b/>
                <w:color w:val="FFFFFF"/>
                <w:sz w:val="22"/>
              </w:rPr>
              <w:t>Community employment pathways</w:t>
            </w:r>
          </w:p>
        </w:tc>
      </w:tr>
    </w:tbl>
    <w:p w14:paraId="6A006056" w14:textId="77777777" w:rsidR="00FD06CB" w:rsidRDefault="00492363">
      <w:pPr>
        <w:spacing w:before="400" w:line="264" w:lineRule="auto"/>
      </w:pPr>
      <w:r>
        <w:rPr>
          <w:color w:val="1F1F1F"/>
          <w:sz w:val="22"/>
        </w:rPr>
        <w:t>AIM can support clients with labour hire, candidate pipelines, Aboriginal workforce participation, mobilisation coordination, mentoring, reporting and workforce retention across project-based, operational and long-term employment environments.</w:t>
      </w:r>
    </w:p>
    <w:p w14:paraId="2B7CC505" w14:textId="77777777" w:rsidR="00FD06CB" w:rsidRDefault="00492363">
      <w:r>
        <w:br w:type="page"/>
      </w:r>
    </w:p>
    <w:p w14:paraId="6C9F1B5E" w14:textId="77777777" w:rsidR="00FD06CB" w:rsidRDefault="00492363">
      <w:pPr>
        <w:spacing w:after="80"/>
      </w:pPr>
      <w:r>
        <w:rPr>
          <w:b/>
          <w:color w:val="C46A28"/>
          <w:sz w:val="16"/>
        </w:rPr>
        <w:lastRenderedPageBreak/>
        <w:t>CONFIDENCE FOR TIER 1 CLIENTS</w:t>
      </w:r>
    </w:p>
    <w:p w14:paraId="2EE9DB16" w14:textId="77777777" w:rsidR="00FD06CB" w:rsidRPr="00F0300E" w:rsidRDefault="00492363">
      <w:pPr>
        <w:spacing w:after="160"/>
      </w:pPr>
      <w:r w:rsidRPr="00F0300E">
        <w:rPr>
          <w:b/>
          <w:sz w:val="48"/>
        </w:rPr>
        <w:t>The proof points clients want to see</w:t>
      </w:r>
    </w:p>
    <w:tbl>
      <w:tblPr>
        <w:tblW w:w="0" w:type="auto"/>
        <w:jc w:val="center"/>
        <w:tblLayout w:type="fixed"/>
        <w:tblLook w:val="04A0" w:firstRow="1" w:lastRow="0" w:firstColumn="1" w:lastColumn="0" w:noHBand="0" w:noVBand="1"/>
      </w:tblPr>
      <w:tblGrid>
        <w:gridCol w:w="5146"/>
        <w:gridCol w:w="5146"/>
      </w:tblGrid>
      <w:tr w:rsidR="00FD06CB" w14:paraId="1C0741E2" w14:textId="77777777" w:rsidTr="00F0300E">
        <w:trPr>
          <w:trHeight w:val="1979"/>
          <w:jc w:val="center"/>
        </w:trPr>
        <w:tc>
          <w:tcPr>
            <w:tcW w:w="5146" w:type="dxa"/>
            <w:tcBorders>
              <w:top w:val="single" w:sz="6" w:space="0" w:color="D9D2C8"/>
              <w:left w:val="single" w:sz="6" w:space="0" w:color="D9D2C8"/>
              <w:bottom w:val="single" w:sz="6" w:space="0" w:color="D9D2C8"/>
              <w:right w:val="single" w:sz="6" w:space="0" w:color="D9D2C8"/>
            </w:tcBorders>
            <w:shd w:val="clear" w:color="auto" w:fill="F5F2ED"/>
          </w:tcPr>
          <w:p w14:paraId="5C86B13C" w14:textId="77777777" w:rsidR="00FD06CB" w:rsidRPr="008E3BC2" w:rsidRDefault="00492363">
            <w:pPr>
              <w:rPr>
                <w:color w:val="A6381A"/>
              </w:rPr>
            </w:pPr>
            <w:r w:rsidRPr="008E3BC2">
              <w:rPr>
                <w:b/>
                <w:color w:val="A6381A"/>
                <w:sz w:val="26"/>
              </w:rPr>
              <w:t>Workforce readiness</w:t>
            </w:r>
          </w:p>
          <w:p w14:paraId="364A2742" w14:textId="77777777" w:rsidR="00FD06CB" w:rsidRDefault="00492363">
            <w:r>
              <w:rPr>
                <w:color w:val="1F1F1F"/>
                <w:sz w:val="19"/>
              </w:rPr>
              <w:t>Pre-placement checks, site readiness, role expectations and practical candidate support.</w:t>
            </w:r>
          </w:p>
        </w:tc>
        <w:tc>
          <w:tcPr>
            <w:tcW w:w="5146" w:type="dxa"/>
            <w:tcBorders>
              <w:top w:val="single" w:sz="6" w:space="0" w:color="D9D2C8"/>
              <w:left w:val="single" w:sz="6" w:space="0" w:color="D9D2C8"/>
              <w:bottom w:val="single" w:sz="6" w:space="0" w:color="D9D2C8"/>
              <w:right w:val="single" w:sz="6" w:space="0" w:color="D9D2C8"/>
            </w:tcBorders>
            <w:shd w:val="clear" w:color="auto" w:fill="FFFFFF"/>
          </w:tcPr>
          <w:p w14:paraId="55D0EE5C" w14:textId="77777777" w:rsidR="00FD06CB" w:rsidRPr="008E3BC2" w:rsidRDefault="00492363">
            <w:pPr>
              <w:rPr>
                <w:color w:val="A6381A"/>
              </w:rPr>
            </w:pPr>
            <w:r w:rsidRPr="008E3BC2">
              <w:rPr>
                <w:b/>
                <w:color w:val="A6381A"/>
                <w:sz w:val="26"/>
              </w:rPr>
              <w:t>Safety focus</w:t>
            </w:r>
          </w:p>
          <w:p w14:paraId="4B552207" w14:textId="77777777" w:rsidR="00FD06CB" w:rsidRDefault="00492363">
            <w:r>
              <w:rPr>
                <w:color w:val="1F1F1F"/>
                <w:sz w:val="19"/>
              </w:rPr>
              <w:t>WHS commitment, PPE awareness, fitness-for-work expectations and incident escalation.</w:t>
            </w:r>
          </w:p>
        </w:tc>
      </w:tr>
      <w:tr w:rsidR="00FD06CB" w14:paraId="6FF3C1EF" w14:textId="77777777" w:rsidTr="00F0300E">
        <w:trPr>
          <w:trHeight w:val="1956"/>
          <w:jc w:val="center"/>
        </w:trPr>
        <w:tc>
          <w:tcPr>
            <w:tcW w:w="5146" w:type="dxa"/>
            <w:tcBorders>
              <w:top w:val="single" w:sz="6" w:space="0" w:color="D9D2C8"/>
              <w:left w:val="single" w:sz="6" w:space="0" w:color="D9D2C8"/>
              <w:bottom w:val="single" w:sz="6" w:space="0" w:color="D9D2C8"/>
              <w:right w:val="single" w:sz="6" w:space="0" w:color="D9D2C8"/>
            </w:tcBorders>
            <w:shd w:val="clear" w:color="auto" w:fill="F5F2ED"/>
          </w:tcPr>
          <w:p w14:paraId="5D773EAF" w14:textId="77777777" w:rsidR="00FD06CB" w:rsidRPr="008E3BC2" w:rsidRDefault="00492363">
            <w:pPr>
              <w:rPr>
                <w:color w:val="A6381A"/>
              </w:rPr>
            </w:pPr>
            <w:r w:rsidRPr="008E3BC2">
              <w:rPr>
                <w:b/>
                <w:color w:val="A6381A"/>
                <w:sz w:val="26"/>
              </w:rPr>
              <w:t>Reporting discipline</w:t>
            </w:r>
          </w:p>
          <w:p w14:paraId="42ACB9A2" w14:textId="77777777" w:rsidR="00FD06CB" w:rsidRDefault="00492363">
            <w:r>
              <w:rPr>
                <w:color w:val="1F1F1F"/>
                <w:sz w:val="19"/>
              </w:rPr>
              <w:t>Clear evidence of workforce engagement, mentoring activity, retention risks and actions.</w:t>
            </w:r>
          </w:p>
        </w:tc>
        <w:tc>
          <w:tcPr>
            <w:tcW w:w="5146" w:type="dxa"/>
            <w:tcBorders>
              <w:top w:val="single" w:sz="6" w:space="0" w:color="D9D2C8"/>
              <w:left w:val="single" w:sz="6" w:space="0" w:color="D9D2C8"/>
              <w:bottom w:val="single" w:sz="6" w:space="0" w:color="D9D2C8"/>
              <w:right w:val="single" w:sz="6" w:space="0" w:color="D9D2C8"/>
            </w:tcBorders>
            <w:shd w:val="clear" w:color="auto" w:fill="FFFFFF"/>
          </w:tcPr>
          <w:p w14:paraId="775A5191" w14:textId="77777777" w:rsidR="00FD06CB" w:rsidRPr="008E3BC2" w:rsidRDefault="00492363">
            <w:pPr>
              <w:rPr>
                <w:color w:val="A6381A"/>
              </w:rPr>
            </w:pPr>
            <w:r w:rsidRPr="008E3BC2">
              <w:rPr>
                <w:b/>
                <w:color w:val="A6381A"/>
                <w:sz w:val="26"/>
              </w:rPr>
              <w:t>Cultural accountability</w:t>
            </w:r>
          </w:p>
          <w:p w14:paraId="5EF82016" w14:textId="77777777" w:rsidR="00FD06CB" w:rsidRDefault="00492363">
            <w:r>
              <w:rPr>
                <w:color w:val="1F1F1F"/>
                <w:sz w:val="19"/>
              </w:rPr>
              <w:t>Culturally respectful mentoring, family/community awareness and practical support.</w:t>
            </w:r>
          </w:p>
        </w:tc>
      </w:tr>
      <w:tr w:rsidR="00FD06CB" w14:paraId="5331FA5B" w14:textId="77777777" w:rsidTr="00F0300E">
        <w:trPr>
          <w:trHeight w:val="1979"/>
          <w:jc w:val="center"/>
        </w:trPr>
        <w:tc>
          <w:tcPr>
            <w:tcW w:w="5146" w:type="dxa"/>
            <w:tcBorders>
              <w:top w:val="single" w:sz="6" w:space="0" w:color="D9D2C8"/>
              <w:left w:val="single" w:sz="6" w:space="0" w:color="D9D2C8"/>
              <w:bottom w:val="single" w:sz="6" w:space="0" w:color="D9D2C8"/>
              <w:right w:val="single" w:sz="6" w:space="0" w:color="D9D2C8"/>
            </w:tcBorders>
            <w:shd w:val="clear" w:color="auto" w:fill="F5F2ED"/>
          </w:tcPr>
          <w:p w14:paraId="7563D4C6" w14:textId="77777777" w:rsidR="00FD06CB" w:rsidRPr="008E3BC2" w:rsidRDefault="00492363">
            <w:pPr>
              <w:rPr>
                <w:color w:val="A6381A"/>
              </w:rPr>
            </w:pPr>
            <w:r w:rsidRPr="008E3BC2">
              <w:rPr>
                <w:b/>
                <w:color w:val="A6381A"/>
                <w:sz w:val="26"/>
              </w:rPr>
              <w:t>Client communication</w:t>
            </w:r>
          </w:p>
          <w:p w14:paraId="11E69FF3" w14:textId="77777777" w:rsidR="00FD06CB" w:rsidRDefault="00492363">
            <w:r>
              <w:rPr>
                <w:color w:val="1F1F1F"/>
                <w:sz w:val="19"/>
              </w:rPr>
              <w:t>Regular contact with supervisors and project contacts to keep issues visible early.</w:t>
            </w:r>
          </w:p>
        </w:tc>
        <w:tc>
          <w:tcPr>
            <w:tcW w:w="5146" w:type="dxa"/>
            <w:tcBorders>
              <w:top w:val="single" w:sz="6" w:space="0" w:color="D9D2C8"/>
              <w:left w:val="single" w:sz="6" w:space="0" w:color="D9D2C8"/>
              <w:bottom w:val="single" w:sz="6" w:space="0" w:color="D9D2C8"/>
              <w:right w:val="single" w:sz="6" w:space="0" w:color="D9D2C8"/>
            </w:tcBorders>
            <w:shd w:val="clear" w:color="auto" w:fill="FFFFFF"/>
          </w:tcPr>
          <w:p w14:paraId="5792F608" w14:textId="77777777" w:rsidR="00FD06CB" w:rsidRPr="008E3BC2" w:rsidRDefault="00492363">
            <w:pPr>
              <w:rPr>
                <w:color w:val="A6381A"/>
              </w:rPr>
            </w:pPr>
            <w:r w:rsidRPr="008E3BC2">
              <w:rPr>
                <w:b/>
                <w:color w:val="A6381A"/>
                <w:sz w:val="26"/>
              </w:rPr>
              <w:t>Continuous improvement</w:t>
            </w:r>
          </w:p>
          <w:p w14:paraId="3BF5790F" w14:textId="77777777" w:rsidR="00FD06CB" w:rsidRDefault="00492363">
            <w:r>
              <w:rPr>
                <w:color w:val="1F1F1F"/>
                <w:sz w:val="19"/>
              </w:rPr>
              <w:t>Review of workforce barriers, training opportunities and retention improvement actions.</w:t>
            </w:r>
          </w:p>
        </w:tc>
      </w:tr>
    </w:tbl>
    <w:p w14:paraId="3F5E60F5" w14:textId="77777777" w:rsidR="00FD06CB" w:rsidRDefault="00492363">
      <w:pPr>
        <w:spacing w:before="280"/>
      </w:pPr>
      <w:r>
        <w:rPr>
          <w:color w:val="6B7280"/>
          <w:sz w:val="19"/>
        </w:rPr>
        <w:t>Procurement alignment note: large clients such as infrastructure contractors, resources companies and defence primes commonly prioritise safety, ethics, compliance, supplier capability, sustainability, social procurement, Indigenous business engagement and clear reporting. AIM has been positioned around those assessment areas.</w:t>
      </w:r>
    </w:p>
    <w:p w14:paraId="22BA6010" w14:textId="77777777" w:rsidR="00FD06CB" w:rsidRDefault="00492363">
      <w:r>
        <w:br w:type="page"/>
      </w:r>
    </w:p>
    <w:tbl>
      <w:tblPr>
        <w:tblW w:w="0" w:type="auto"/>
        <w:jc w:val="center"/>
        <w:tblLayout w:type="fixed"/>
        <w:tblLook w:val="04A0" w:firstRow="1" w:lastRow="0" w:firstColumn="1" w:lastColumn="0" w:noHBand="0" w:noVBand="1"/>
      </w:tblPr>
      <w:tblGrid>
        <w:gridCol w:w="5162"/>
        <w:gridCol w:w="5162"/>
      </w:tblGrid>
      <w:tr w:rsidR="00FD06CB" w14:paraId="11EE9790" w14:textId="77777777" w:rsidTr="00F0300E">
        <w:trPr>
          <w:trHeight w:val="8148"/>
          <w:jc w:val="center"/>
        </w:trPr>
        <w:tc>
          <w:tcPr>
            <w:tcW w:w="5162" w:type="dxa"/>
            <w:tcBorders>
              <w:top w:val="single" w:sz="0" w:space="0" w:color="0E2A47"/>
              <w:left w:val="single" w:sz="0" w:space="0" w:color="0E2A47"/>
              <w:bottom w:val="single" w:sz="0" w:space="0" w:color="0E2A47"/>
              <w:right w:val="single" w:sz="0" w:space="0" w:color="0E2A47"/>
            </w:tcBorders>
            <w:shd w:val="clear" w:color="auto" w:fill="000000" w:themeFill="text1"/>
            <w:vAlign w:val="center"/>
          </w:tcPr>
          <w:p w14:paraId="6303FD1C" w14:textId="458F3950" w:rsidR="00FD06CB" w:rsidRDefault="00F0300E">
            <w:pPr>
              <w:jc w:val="center"/>
            </w:pPr>
            <w:r>
              <w:rPr>
                <w:noProof/>
              </w:rPr>
              <w:lastRenderedPageBreak/>
              <w:drawing>
                <wp:inline distT="0" distB="0" distL="0" distR="0" wp14:anchorId="22968EC0" wp14:editId="5050C1C3">
                  <wp:extent cx="2714625" cy="1609725"/>
                  <wp:effectExtent l="0" t="0" r="9525" b="9525"/>
                  <wp:docPr id="12870871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087193" name="Picture 1287087193"/>
                          <pic:cNvPicPr/>
                        </pic:nvPicPr>
                        <pic:blipFill rotWithShape="1">
                          <a:blip r:embed="rId9"/>
                          <a:srcRect t="-1" r="3410" b="4227"/>
                          <a:stretch>
                            <a:fillRect/>
                          </a:stretch>
                        </pic:blipFill>
                        <pic:spPr bwMode="auto">
                          <a:xfrm>
                            <a:off x="0" y="0"/>
                            <a:ext cx="2718789" cy="1612194"/>
                          </a:xfrm>
                          <a:prstGeom prst="rect">
                            <a:avLst/>
                          </a:prstGeom>
                          <a:ln>
                            <a:noFill/>
                          </a:ln>
                          <a:extLst>
                            <a:ext uri="{53640926-AAD7-44D8-BBD7-CCE9431645EC}">
                              <a14:shadowObscured xmlns:a14="http://schemas.microsoft.com/office/drawing/2010/main"/>
                            </a:ext>
                          </a:extLst>
                        </pic:spPr>
                      </pic:pic>
                    </a:graphicData>
                  </a:graphic>
                </wp:inline>
              </w:drawing>
            </w:r>
          </w:p>
          <w:p w14:paraId="2B11F6F6" w14:textId="77777777" w:rsidR="00FD06CB" w:rsidRDefault="00492363">
            <w:pPr>
              <w:spacing w:before="600"/>
              <w:jc w:val="center"/>
            </w:pPr>
            <w:r>
              <w:rPr>
                <w:b/>
                <w:color w:val="B8892E"/>
                <w:sz w:val="26"/>
              </w:rPr>
              <w:t>TOGETHER, CREATING ABORIGINAL EMPLOYMENT OUTCOMES</w:t>
            </w:r>
          </w:p>
        </w:tc>
        <w:tc>
          <w:tcPr>
            <w:tcW w:w="5162" w:type="dxa"/>
            <w:tcBorders>
              <w:top w:val="single" w:sz="0" w:space="0" w:color="F5F2ED"/>
              <w:left w:val="single" w:sz="0" w:space="0" w:color="F5F2ED"/>
              <w:bottom w:val="single" w:sz="0" w:space="0" w:color="F5F2ED"/>
              <w:right w:val="single" w:sz="0" w:space="0" w:color="F5F2ED"/>
            </w:tcBorders>
            <w:shd w:val="clear" w:color="auto" w:fill="F5F2ED"/>
            <w:vAlign w:val="center"/>
          </w:tcPr>
          <w:p w14:paraId="6B3C0266" w14:textId="77777777" w:rsidR="00FD06CB" w:rsidRPr="00F0300E" w:rsidRDefault="00492363">
            <w:r w:rsidRPr="00F0300E">
              <w:rPr>
                <w:b/>
                <w:sz w:val="48"/>
              </w:rPr>
              <w:t>Let's build your workforce together</w:t>
            </w:r>
          </w:p>
          <w:p w14:paraId="7834E462" w14:textId="2FBB68E0" w:rsidR="00FD06CB" w:rsidRDefault="00F0300E">
            <w:r>
              <w:rPr>
                <w:b/>
                <w:color w:val="C46A28"/>
                <w:sz w:val="28"/>
              </w:rPr>
              <w:t>Bella Zimmermann</w:t>
            </w:r>
          </w:p>
          <w:p w14:paraId="202A8202" w14:textId="501353F4" w:rsidR="00FD06CB" w:rsidRDefault="00F0300E">
            <w:r>
              <w:rPr>
                <w:color w:val="1F1F1F"/>
              </w:rPr>
              <w:t>Workforce &amp; Client Partnership Coordinator | Aboriginal Integration Management Pty Ltd</w:t>
            </w:r>
          </w:p>
          <w:p w14:paraId="19CA4AB0" w14:textId="2BB9F023" w:rsidR="00FD06CB" w:rsidRDefault="00492363">
            <w:r>
              <w:rPr>
                <w:color w:val="1F1F1F"/>
                <w:sz w:val="21"/>
              </w:rPr>
              <w:t>Mobile: 04</w:t>
            </w:r>
            <w:r w:rsidR="00F0300E">
              <w:rPr>
                <w:color w:val="1F1F1F"/>
                <w:sz w:val="21"/>
              </w:rPr>
              <w:t>18 432 538</w:t>
            </w:r>
          </w:p>
          <w:p w14:paraId="00A0121D" w14:textId="393869BA" w:rsidR="00FD06CB" w:rsidRDefault="00492363">
            <w:r>
              <w:rPr>
                <w:color w:val="1F1F1F"/>
                <w:sz w:val="21"/>
              </w:rPr>
              <w:t xml:space="preserve">Email: </w:t>
            </w:r>
            <w:r w:rsidR="00F0300E">
              <w:rPr>
                <w:color w:val="1F1F1F"/>
                <w:sz w:val="21"/>
              </w:rPr>
              <w:t>bella</w:t>
            </w:r>
            <w:r>
              <w:rPr>
                <w:color w:val="1F1F1F"/>
                <w:sz w:val="21"/>
              </w:rPr>
              <w:t>@aim4success.com.au</w:t>
            </w:r>
          </w:p>
          <w:p w14:paraId="17E3A3A7" w14:textId="77777777" w:rsidR="00FD06CB" w:rsidRDefault="00492363">
            <w:r>
              <w:rPr>
                <w:color w:val="1F1F1F"/>
                <w:sz w:val="21"/>
              </w:rPr>
              <w:t>Website: www.aim4success.com.au</w:t>
            </w:r>
          </w:p>
          <w:p w14:paraId="1309EB3B" w14:textId="77777777" w:rsidR="00FD06CB" w:rsidRDefault="00492363">
            <w:r>
              <w:rPr>
                <w:color w:val="1F1F1F"/>
                <w:sz w:val="21"/>
              </w:rPr>
              <w:t>ABN: 39 684 265 736</w:t>
            </w:r>
          </w:p>
          <w:p w14:paraId="7E91DFD4" w14:textId="77777777" w:rsidR="00FD06CB" w:rsidRDefault="00492363">
            <w:pPr>
              <w:spacing w:before="400"/>
            </w:pPr>
            <w:r>
              <w:rPr>
                <w:b/>
                <w:color w:val="0E2A47"/>
                <w:sz w:val="18"/>
              </w:rPr>
              <w:t>Recruitment | Labour Hire | Mentoring | Workforce Development | Reporting</w:t>
            </w:r>
          </w:p>
          <w:p w14:paraId="3D44C2B6" w14:textId="77777777" w:rsidR="00FD06CB" w:rsidRDefault="00492363">
            <w:r>
              <w:rPr>
                <w:color w:val="6B7280"/>
                <w:sz w:val="18"/>
              </w:rPr>
              <w:t>Prepared for business development meetings, tender introductions and procurement conversations.</w:t>
            </w:r>
          </w:p>
        </w:tc>
      </w:tr>
    </w:tbl>
    <w:p w14:paraId="093921D1" w14:textId="77777777" w:rsidR="00F21DD1" w:rsidRDefault="00F21DD1"/>
    <w:sectPr w:rsidR="00F21DD1" w:rsidSect="00F07F9F">
      <w:headerReference w:type="even" r:id="rId10"/>
      <w:headerReference w:type="default" r:id="rId11"/>
      <w:footerReference w:type="even" r:id="rId12"/>
      <w:footerReference w:type="default" r:id="rId13"/>
      <w:headerReference w:type="first" r:id="rId14"/>
      <w:footerReference w:type="first" r:id="rId15"/>
      <w:pgSz w:w="16834" w:h="11909" w:orient="landscape"/>
      <w:pgMar w:top="792" w:right="648" w:bottom="792" w:left="64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26D77" w14:textId="77777777" w:rsidR="00492363" w:rsidRDefault="00492363">
      <w:pPr>
        <w:spacing w:after="0" w:line="240" w:lineRule="auto"/>
      </w:pPr>
      <w:r>
        <w:separator/>
      </w:r>
    </w:p>
  </w:endnote>
  <w:endnote w:type="continuationSeparator" w:id="0">
    <w:p w14:paraId="59DBE423" w14:textId="77777777" w:rsidR="00492363" w:rsidRDefault="00492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89D3" w14:textId="77777777" w:rsidR="00665CFB" w:rsidRDefault="00665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87F3" w14:textId="77777777" w:rsidR="00FD06CB" w:rsidRDefault="00492363">
    <w:pPr>
      <w:pStyle w:val="Footer"/>
      <w:jc w:val="center"/>
    </w:pPr>
    <w:r>
      <w:rPr>
        <w:color w:val="6B7280"/>
        <w:sz w:val="14"/>
      </w:rPr>
      <w:t>Aboriginal Integration Management Pty Ltd | Capability Statement | 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20841" w14:textId="77777777" w:rsidR="00665CFB" w:rsidRDefault="00665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BE784" w14:textId="77777777" w:rsidR="00492363" w:rsidRDefault="00492363">
      <w:pPr>
        <w:spacing w:after="0" w:line="240" w:lineRule="auto"/>
      </w:pPr>
      <w:r>
        <w:separator/>
      </w:r>
    </w:p>
  </w:footnote>
  <w:footnote w:type="continuationSeparator" w:id="0">
    <w:p w14:paraId="6AC5C783" w14:textId="77777777" w:rsidR="00492363" w:rsidRDefault="00492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75B0F" w14:textId="77777777" w:rsidR="00665CFB" w:rsidRDefault="00665C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1047" w14:textId="77777777" w:rsidR="00665CFB" w:rsidRDefault="00665C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7E04" w14:textId="77777777" w:rsidR="00665CFB" w:rsidRDefault="00665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76102050">
    <w:abstractNumId w:val="8"/>
  </w:num>
  <w:num w:numId="2" w16cid:durableId="1663466783">
    <w:abstractNumId w:val="6"/>
  </w:num>
  <w:num w:numId="3" w16cid:durableId="64300790">
    <w:abstractNumId w:val="5"/>
  </w:num>
  <w:num w:numId="4" w16cid:durableId="525171410">
    <w:abstractNumId w:val="4"/>
  </w:num>
  <w:num w:numId="5" w16cid:durableId="2126734629">
    <w:abstractNumId w:val="7"/>
  </w:num>
  <w:num w:numId="6" w16cid:durableId="1316448594">
    <w:abstractNumId w:val="3"/>
  </w:num>
  <w:num w:numId="7" w16cid:durableId="1120033657">
    <w:abstractNumId w:val="2"/>
  </w:num>
  <w:num w:numId="8" w16cid:durableId="1351178320">
    <w:abstractNumId w:val="1"/>
  </w:num>
  <w:num w:numId="9" w16cid:durableId="1600410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D0465"/>
    <w:rsid w:val="0029639D"/>
    <w:rsid w:val="00326F90"/>
    <w:rsid w:val="003B2EC1"/>
    <w:rsid w:val="003C520A"/>
    <w:rsid w:val="00492363"/>
    <w:rsid w:val="00522BA4"/>
    <w:rsid w:val="00665CFB"/>
    <w:rsid w:val="006766B4"/>
    <w:rsid w:val="007D5779"/>
    <w:rsid w:val="008273DA"/>
    <w:rsid w:val="008E3BC2"/>
    <w:rsid w:val="009263D2"/>
    <w:rsid w:val="00AA1D8D"/>
    <w:rsid w:val="00B4146F"/>
    <w:rsid w:val="00B47730"/>
    <w:rsid w:val="00B82B44"/>
    <w:rsid w:val="00CB0664"/>
    <w:rsid w:val="00DC3DB7"/>
    <w:rsid w:val="00E108C3"/>
    <w:rsid w:val="00F0300E"/>
    <w:rsid w:val="00F07F9F"/>
    <w:rsid w:val="00F21DD1"/>
    <w:rsid w:val="00FC401E"/>
    <w:rsid w:val="00FC693F"/>
    <w:rsid w:val="00FD0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A10F6C"/>
  <w14:defaultImageDpi w14:val="300"/>
  <w15:docId w15:val="{A202F95E-46C7-499B-B79C-14B899A0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AIM Capability Statement - Tier 1 Brochure</vt:lpstr>
    </vt:vector>
  </TitlesOfParts>
  <Manager/>
  <Company/>
  <LinksUpToDate>false</LinksUpToDate>
  <CharactersWithSpaces>6533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AIM Capability Statement - Tier 1 Brochure</dc:title>
  <dc:subject>Corporate capability statement for Aboriginal Integration Management Pty Ltd</dc:subject>
  <dc:creator>Aboriginal Integration Management Pty Ltd</dc:creator>
  <cp:keywords/>
  <dc:description>Prepared as an editable capability statement for client and procurement conversations.</dc:description>
  <cp:lastModifiedBy>Bella Zimmermann</cp:lastModifiedBy>
  <cp:revision>2</cp:revision>
  <dcterms:created xsi:type="dcterms:W3CDTF">2026-06-30T03:59:00Z</dcterms:created>
  <dcterms:modified xsi:type="dcterms:W3CDTF">2026-06-30T03:59:00Z</dcterms:modified>
  <cp:category/>
</cp:coreProperties>
</file>